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98" w:rsidRPr="00344194" w:rsidRDefault="00D46298" w:rsidP="00D46298">
      <w:pPr>
        <w:spacing w:after="120" w:line="250" w:lineRule="auto"/>
        <w:rPr>
          <w:b/>
          <w:bCs/>
          <w:color w:val="000000"/>
          <w:sz w:val="28"/>
          <w:szCs w:val="28"/>
        </w:rPr>
      </w:pPr>
      <w:r w:rsidRPr="00344194">
        <w:rPr>
          <w:b/>
          <w:bCs/>
          <w:color w:val="000000"/>
          <w:sz w:val="28"/>
          <w:szCs w:val="28"/>
        </w:rPr>
        <w:t xml:space="preserve">ÇOCUKLARDA KEMİK İLİĞİ </w:t>
      </w:r>
      <w:r>
        <w:rPr>
          <w:b/>
          <w:bCs/>
          <w:color w:val="000000"/>
          <w:sz w:val="28"/>
          <w:szCs w:val="28"/>
        </w:rPr>
        <w:t xml:space="preserve">                                                                                                   </w:t>
      </w:r>
      <w:r w:rsidRPr="00344194">
        <w:rPr>
          <w:b/>
          <w:bCs/>
          <w:color w:val="000000"/>
          <w:sz w:val="28"/>
          <w:szCs w:val="28"/>
        </w:rPr>
        <w:t>KÖK HÜCRE TRANSPLANTASYONU</w:t>
      </w:r>
    </w:p>
    <w:p w:rsidR="00D46298" w:rsidRPr="0019774B" w:rsidRDefault="00D46298" w:rsidP="00D46298">
      <w:pPr>
        <w:spacing w:after="120" w:line="250" w:lineRule="auto"/>
        <w:jc w:val="both"/>
        <w:rPr>
          <w:b/>
          <w:bCs/>
          <w:color w:val="000000"/>
        </w:rPr>
      </w:pPr>
    </w:p>
    <w:p w:rsidR="00D46298" w:rsidRPr="0019774B" w:rsidRDefault="00D46298" w:rsidP="00D46298">
      <w:pPr>
        <w:spacing w:after="120" w:line="250" w:lineRule="auto"/>
        <w:jc w:val="both"/>
        <w:rPr>
          <w:b/>
          <w:bCs/>
          <w:color w:val="000000"/>
        </w:rPr>
      </w:pPr>
      <w:r w:rsidRPr="0019774B">
        <w:rPr>
          <w:b/>
          <w:bCs/>
          <w:color w:val="000000"/>
        </w:rPr>
        <w:t>Prof</w:t>
      </w:r>
      <w:r>
        <w:rPr>
          <w:b/>
          <w:bCs/>
          <w:color w:val="000000"/>
        </w:rPr>
        <w:t>.</w:t>
      </w:r>
      <w:r w:rsidRPr="0019774B">
        <w:rPr>
          <w:b/>
          <w:bCs/>
          <w:color w:val="000000"/>
        </w:rPr>
        <w:t xml:space="preserve"> Dr</w:t>
      </w:r>
      <w:r>
        <w:rPr>
          <w:b/>
          <w:bCs/>
          <w:color w:val="000000"/>
        </w:rPr>
        <w:t>.</w:t>
      </w:r>
      <w:r w:rsidRPr="0019774B">
        <w:rPr>
          <w:b/>
          <w:bCs/>
          <w:color w:val="000000"/>
        </w:rPr>
        <w:t xml:space="preserve"> Savaş KANSOY</w:t>
      </w:r>
    </w:p>
    <w:p w:rsidR="00D46298" w:rsidRPr="0019774B" w:rsidRDefault="00D46298" w:rsidP="00D46298">
      <w:pPr>
        <w:spacing w:after="120" w:line="250" w:lineRule="auto"/>
        <w:jc w:val="both"/>
        <w:rPr>
          <w:b/>
          <w:bCs/>
          <w:color w:val="000000"/>
        </w:rPr>
      </w:pPr>
      <w:r w:rsidRPr="0019774B">
        <w:rPr>
          <w:b/>
          <w:bCs/>
          <w:color w:val="000000"/>
        </w:rPr>
        <w:t>Prof</w:t>
      </w:r>
      <w:r>
        <w:rPr>
          <w:b/>
          <w:bCs/>
          <w:color w:val="000000"/>
        </w:rPr>
        <w:t>.</w:t>
      </w:r>
      <w:r w:rsidRPr="0019774B">
        <w:rPr>
          <w:b/>
          <w:bCs/>
          <w:color w:val="000000"/>
        </w:rPr>
        <w:t xml:space="preserve"> Dr</w:t>
      </w:r>
      <w:r>
        <w:rPr>
          <w:b/>
          <w:bCs/>
          <w:color w:val="000000"/>
        </w:rPr>
        <w:t>.</w:t>
      </w:r>
      <w:r w:rsidRPr="0019774B">
        <w:rPr>
          <w:b/>
          <w:bCs/>
          <w:color w:val="000000"/>
        </w:rPr>
        <w:t xml:space="preserve"> Serap AKSOYLAR</w:t>
      </w:r>
    </w:p>
    <w:p w:rsidR="00D46298" w:rsidRDefault="00D46298" w:rsidP="00D46298">
      <w:pPr>
        <w:spacing w:after="120" w:line="250" w:lineRule="auto"/>
        <w:jc w:val="both"/>
        <w:rPr>
          <w:color w:val="000000"/>
        </w:rPr>
      </w:pPr>
    </w:p>
    <w:p w:rsidR="00D46298" w:rsidRDefault="00D46298" w:rsidP="00D46298">
      <w:pPr>
        <w:spacing w:after="120" w:line="250" w:lineRule="auto"/>
        <w:jc w:val="both"/>
        <w:rPr>
          <w:color w:val="000000"/>
        </w:rPr>
        <w:sectPr w:rsidR="00D46298" w:rsidSect="00D46298">
          <w:pgSz w:w="11340" w:h="15876" w:code="9"/>
          <w:pgMar w:top="1134" w:right="1134" w:bottom="1418" w:left="1134" w:header="567" w:footer="680" w:gutter="0"/>
          <w:cols w:space="284"/>
          <w:docGrid w:linePitch="360"/>
        </w:sectPr>
      </w:pPr>
    </w:p>
    <w:p w:rsidR="00D46298" w:rsidRPr="0019774B" w:rsidRDefault="00D46298" w:rsidP="00D46298">
      <w:pPr>
        <w:pStyle w:val="Default"/>
        <w:spacing w:after="120" w:line="250" w:lineRule="auto"/>
        <w:jc w:val="both"/>
        <w:rPr>
          <w:rStyle w:val="A1"/>
          <w:rFonts w:ascii="Times New Roman" w:hAnsi="Times New Roman" w:cs="Times New Roman"/>
        </w:rPr>
      </w:pPr>
      <w:r w:rsidRPr="0019774B">
        <w:rPr>
          <w:rStyle w:val="A1"/>
          <w:rFonts w:ascii="Times New Roman" w:hAnsi="Times New Roman" w:cs="Times New Roman"/>
        </w:rPr>
        <w:lastRenderedPageBreak/>
        <w:t>Hematopoetik kök hücre transplantasyonu (HKHT) mali</w:t>
      </w:r>
      <w:r>
        <w:rPr>
          <w:rStyle w:val="A1"/>
          <w:rFonts w:ascii="Times New Roman" w:hAnsi="Times New Roman" w:cs="Times New Roman"/>
        </w:rPr>
        <w:t>gn ve malign olmayan birçok has</w:t>
      </w:r>
      <w:r w:rsidRPr="0019774B">
        <w:rPr>
          <w:rStyle w:val="A1"/>
          <w:rFonts w:ascii="Times New Roman" w:hAnsi="Times New Roman" w:cs="Times New Roman"/>
        </w:rPr>
        <w:t>talıkta köklü tedavi edici bir yöntem olarak kullanılmaktadır. HKHT, malign hastalıklarda eradikasyonu sağlamak, aplastik anemiler ve immun yetmezlikler gibi hastalı</w:t>
      </w:r>
      <w:r w:rsidRPr="0019774B">
        <w:rPr>
          <w:rStyle w:val="A1"/>
          <w:rFonts w:ascii="Times New Roman" w:hAnsi="Times New Roman" w:cs="Times New Roman"/>
        </w:rPr>
        <w:t>k</w:t>
      </w:r>
      <w:r>
        <w:rPr>
          <w:rStyle w:val="A1"/>
          <w:rFonts w:ascii="Times New Roman" w:hAnsi="Times New Roman" w:cs="Times New Roman"/>
        </w:rPr>
        <w:t>-</w:t>
      </w:r>
      <w:r w:rsidRPr="0019774B">
        <w:rPr>
          <w:rStyle w:val="A1"/>
          <w:rFonts w:ascii="Times New Roman" w:hAnsi="Times New Roman" w:cs="Times New Roman"/>
        </w:rPr>
        <w:t>larda eksik olan hücreyi yerine koymak veya hemog</w:t>
      </w:r>
      <w:r>
        <w:rPr>
          <w:rStyle w:val="A1"/>
          <w:rFonts w:ascii="Times New Roman" w:hAnsi="Times New Roman" w:cs="Times New Roman"/>
        </w:rPr>
        <w:t>-</w:t>
      </w:r>
      <w:r w:rsidRPr="0019774B">
        <w:rPr>
          <w:rStyle w:val="A1"/>
          <w:rFonts w:ascii="Times New Roman" w:hAnsi="Times New Roman" w:cs="Times New Roman"/>
        </w:rPr>
        <w:t>lobinopatilerde olduğu gibi hatalı üretim yapan hücre topluluğunu ortadan kaldırmak amacı ile yapı</w:t>
      </w:r>
      <w:r w:rsidRPr="0019774B">
        <w:rPr>
          <w:rStyle w:val="A1"/>
          <w:rFonts w:ascii="Times New Roman" w:hAnsi="Times New Roman" w:cs="Times New Roman"/>
        </w:rPr>
        <w:t>l</w:t>
      </w:r>
      <w:r w:rsidRPr="0019774B">
        <w:rPr>
          <w:rStyle w:val="A1"/>
          <w:rFonts w:ascii="Times New Roman" w:hAnsi="Times New Roman" w:cs="Times New Roman"/>
        </w:rPr>
        <w:t>mak</w:t>
      </w:r>
      <w:r>
        <w:rPr>
          <w:rStyle w:val="A1"/>
          <w:rFonts w:ascii="Times New Roman" w:hAnsi="Times New Roman" w:cs="Times New Roman"/>
        </w:rPr>
        <w:t>-</w:t>
      </w:r>
      <w:r w:rsidRPr="0019774B">
        <w:rPr>
          <w:rStyle w:val="A1"/>
          <w:rFonts w:ascii="Times New Roman" w:hAnsi="Times New Roman" w:cs="Times New Roman"/>
        </w:rPr>
        <w:t>t</w:t>
      </w:r>
      <w:r w:rsidRPr="0019774B">
        <w:rPr>
          <w:rStyle w:val="A1"/>
          <w:rFonts w:ascii="Times New Roman" w:hAnsi="Times New Roman" w:cs="Times New Roman"/>
        </w:rPr>
        <w:t>a</w:t>
      </w:r>
      <w:r w:rsidRPr="0019774B">
        <w:rPr>
          <w:rStyle w:val="A1"/>
          <w:rFonts w:ascii="Times New Roman" w:hAnsi="Times New Roman" w:cs="Times New Roman"/>
        </w:rPr>
        <w:t xml:space="preserve">dır. </w:t>
      </w:r>
    </w:p>
    <w:p w:rsidR="00D46298" w:rsidRPr="0019774B" w:rsidRDefault="00D46298" w:rsidP="00D46298">
      <w:pPr>
        <w:pStyle w:val="Default"/>
        <w:spacing w:after="120" w:line="250" w:lineRule="auto"/>
        <w:jc w:val="both"/>
        <w:rPr>
          <w:rStyle w:val="A1"/>
          <w:rFonts w:ascii="Times New Roman" w:hAnsi="Times New Roman" w:cs="Times New Roman"/>
        </w:rPr>
      </w:pPr>
      <w:r w:rsidRPr="0019774B">
        <w:rPr>
          <w:rStyle w:val="A1"/>
          <w:rFonts w:ascii="Times New Roman" w:hAnsi="Times New Roman" w:cs="Times New Roman"/>
        </w:rPr>
        <w:t>İlk allojenik HKHT 1957 yılında Don Thomas ve arkadaşları tarafından yayınlanmıştır. 1960’lı yılların başlarında HLA gruplarının tanımlanması ve HLA uyumlu vericilerden nakillerin başlaması başarı ora</w:t>
      </w:r>
      <w:r>
        <w:rPr>
          <w:rStyle w:val="A1"/>
          <w:rFonts w:ascii="Times New Roman" w:hAnsi="Times New Roman" w:cs="Times New Roman"/>
        </w:rPr>
        <w:t>-</w:t>
      </w:r>
      <w:r w:rsidRPr="0019774B">
        <w:rPr>
          <w:rStyle w:val="A1"/>
          <w:rFonts w:ascii="Times New Roman" w:hAnsi="Times New Roman" w:cs="Times New Roman"/>
        </w:rPr>
        <w:t>n</w:t>
      </w:r>
      <w:r w:rsidRPr="0019774B">
        <w:rPr>
          <w:rStyle w:val="A1"/>
          <w:rFonts w:ascii="Times New Roman" w:hAnsi="Times New Roman" w:cs="Times New Roman"/>
        </w:rPr>
        <w:t>ı</w:t>
      </w:r>
      <w:r w:rsidRPr="0019774B">
        <w:rPr>
          <w:rStyle w:val="A1"/>
          <w:rFonts w:ascii="Times New Roman" w:hAnsi="Times New Roman" w:cs="Times New Roman"/>
        </w:rPr>
        <w:t>nı artırmıştır. Çocuklarda ilk başarılı allojenik HKHT ise 1968 yılında immün</w:t>
      </w:r>
      <w:r>
        <w:rPr>
          <w:rStyle w:val="A1"/>
          <w:rFonts w:ascii="Times New Roman" w:hAnsi="Times New Roman" w:cs="Times New Roman"/>
        </w:rPr>
        <w:t xml:space="preserve"> yetmezlik olgularında bildiril</w:t>
      </w:r>
      <w:r w:rsidRPr="0019774B">
        <w:rPr>
          <w:rStyle w:val="A1"/>
          <w:rFonts w:ascii="Times New Roman" w:hAnsi="Times New Roman" w:cs="Times New Roman"/>
        </w:rPr>
        <w:t>miştir. 1980’lı yıllarda periferik kök hücre, 1990’larda kordon kanlarından yapılan nakillerin artması ve 2000’lerde ise akraba dışı (matched unre</w:t>
      </w:r>
      <w:r>
        <w:rPr>
          <w:rStyle w:val="A1"/>
          <w:rFonts w:ascii="Times New Roman" w:hAnsi="Times New Roman" w:cs="Times New Roman"/>
        </w:rPr>
        <w:t>-</w:t>
      </w:r>
      <w:r w:rsidRPr="0019774B">
        <w:rPr>
          <w:rStyle w:val="A1"/>
          <w:rFonts w:ascii="Times New Roman" w:hAnsi="Times New Roman" w:cs="Times New Roman"/>
        </w:rPr>
        <w:t>lated donor / MUD) ile HKHT tüm dünyada yaygın</w:t>
      </w:r>
      <w:r>
        <w:rPr>
          <w:rStyle w:val="A1"/>
          <w:rFonts w:ascii="Times New Roman" w:hAnsi="Times New Roman" w:cs="Times New Roman"/>
        </w:rPr>
        <w:t>-</w:t>
      </w:r>
      <w:r w:rsidRPr="0019774B">
        <w:rPr>
          <w:rStyle w:val="A1"/>
          <w:rFonts w:ascii="Times New Roman" w:hAnsi="Times New Roman" w:cs="Times New Roman"/>
        </w:rPr>
        <w:t xml:space="preserve">laşmıştır. </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Son yıllarda kemik iliği dışında periferik kan ve ko</w:t>
      </w:r>
      <w:r w:rsidRPr="0019774B">
        <w:rPr>
          <w:rStyle w:val="A1"/>
          <w:rFonts w:ascii="Times New Roman" w:hAnsi="Times New Roman" w:cs="Times New Roman"/>
        </w:rPr>
        <w:t>r</w:t>
      </w:r>
      <w:r>
        <w:rPr>
          <w:rStyle w:val="A1"/>
          <w:rFonts w:ascii="Times New Roman" w:hAnsi="Times New Roman" w:cs="Times New Roman"/>
        </w:rPr>
        <w:t>-</w:t>
      </w:r>
      <w:r w:rsidRPr="0019774B">
        <w:rPr>
          <w:rStyle w:val="A1"/>
          <w:rFonts w:ascii="Times New Roman" w:hAnsi="Times New Roman" w:cs="Times New Roman"/>
        </w:rPr>
        <w:t>don k</w:t>
      </w:r>
      <w:r>
        <w:rPr>
          <w:rStyle w:val="A1"/>
          <w:rFonts w:ascii="Times New Roman" w:hAnsi="Times New Roman" w:cs="Times New Roman"/>
        </w:rPr>
        <w:t>anının da kök hücre kaynağı ola</w:t>
      </w:r>
      <w:r w:rsidRPr="0019774B">
        <w:rPr>
          <w:rStyle w:val="A1"/>
          <w:rFonts w:ascii="Times New Roman" w:hAnsi="Times New Roman" w:cs="Times New Roman"/>
        </w:rPr>
        <w:t>rak kullanıl</w:t>
      </w:r>
      <w:r>
        <w:rPr>
          <w:rStyle w:val="A1"/>
          <w:rFonts w:ascii="Times New Roman" w:hAnsi="Times New Roman" w:cs="Times New Roman"/>
        </w:rPr>
        <w:t>-</w:t>
      </w:r>
      <w:r w:rsidRPr="0019774B">
        <w:rPr>
          <w:rStyle w:val="A1"/>
          <w:rFonts w:ascii="Times New Roman" w:hAnsi="Times New Roman" w:cs="Times New Roman"/>
        </w:rPr>
        <w:t>m</w:t>
      </w:r>
      <w:r w:rsidRPr="0019774B">
        <w:rPr>
          <w:rStyle w:val="A1"/>
          <w:rFonts w:ascii="Times New Roman" w:hAnsi="Times New Roman" w:cs="Times New Roman"/>
        </w:rPr>
        <w:t>a</w:t>
      </w:r>
      <w:r w:rsidRPr="0019774B">
        <w:rPr>
          <w:rStyle w:val="A1"/>
          <w:rFonts w:ascii="Times New Roman" w:hAnsi="Times New Roman" w:cs="Times New Roman"/>
        </w:rPr>
        <w:t>sının artması nedeni ile “kemik iliği nakli” yerine “hematopoetik kök hücre nakli (HKHN) ” termi</w:t>
      </w:r>
      <w:r>
        <w:rPr>
          <w:rStyle w:val="A1"/>
          <w:rFonts w:ascii="Times New Roman" w:hAnsi="Times New Roman" w:cs="Times New Roman"/>
        </w:rPr>
        <w:t>-</w:t>
      </w:r>
      <w:r w:rsidRPr="0019774B">
        <w:rPr>
          <w:rStyle w:val="A1"/>
          <w:rFonts w:ascii="Times New Roman" w:hAnsi="Times New Roman" w:cs="Times New Roman"/>
        </w:rPr>
        <w:t>noloj</w:t>
      </w:r>
      <w:r w:rsidRPr="0019774B">
        <w:rPr>
          <w:rStyle w:val="A1"/>
          <w:rFonts w:ascii="Times New Roman" w:hAnsi="Times New Roman" w:cs="Times New Roman"/>
        </w:rPr>
        <w:t>i</w:t>
      </w:r>
      <w:r w:rsidRPr="0019774B">
        <w:rPr>
          <w:rStyle w:val="A1"/>
          <w:rFonts w:ascii="Times New Roman" w:hAnsi="Times New Roman" w:cs="Times New Roman"/>
        </w:rPr>
        <w:t>si daha çok tercih edilmekt</w:t>
      </w:r>
      <w:r w:rsidRPr="0019774B">
        <w:rPr>
          <w:rStyle w:val="A1"/>
          <w:rFonts w:ascii="Times New Roman" w:hAnsi="Times New Roman" w:cs="Times New Roman"/>
        </w:rPr>
        <w:t>e</w:t>
      </w:r>
      <w:r w:rsidRPr="0019774B">
        <w:rPr>
          <w:rStyle w:val="A1"/>
          <w:rFonts w:ascii="Times New Roman" w:hAnsi="Times New Roman" w:cs="Times New Roman"/>
        </w:rPr>
        <w:t xml:space="preserve">dir. </w:t>
      </w:r>
    </w:p>
    <w:p w:rsidR="00D46298" w:rsidRPr="0019774B" w:rsidRDefault="00D46298" w:rsidP="00D46298">
      <w:pPr>
        <w:pStyle w:val="Default"/>
        <w:spacing w:after="120" w:line="250" w:lineRule="auto"/>
        <w:jc w:val="both"/>
        <w:rPr>
          <w:rStyle w:val="A1"/>
          <w:rFonts w:ascii="Times New Roman" w:hAnsi="Times New Roman" w:cs="Times New Roman"/>
        </w:rPr>
      </w:pPr>
      <w:r w:rsidRPr="0019774B">
        <w:rPr>
          <w:rStyle w:val="A1"/>
          <w:rFonts w:ascii="Times New Roman" w:hAnsi="Times New Roman" w:cs="Times New Roman"/>
        </w:rPr>
        <w:t>Günümüzde çocukluk yaş grubunda hematolojik malignensiler, immun yetmezlikler, hemoglobinopa</w:t>
      </w:r>
      <w:r>
        <w:rPr>
          <w:rStyle w:val="A1"/>
          <w:rFonts w:ascii="Times New Roman" w:hAnsi="Times New Roman" w:cs="Times New Roman"/>
        </w:rPr>
        <w:t>-</w:t>
      </w:r>
      <w:r w:rsidRPr="0019774B">
        <w:rPr>
          <w:rStyle w:val="A1"/>
          <w:rFonts w:ascii="Times New Roman" w:hAnsi="Times New Roman" w:cs="Times New Roman"/>
        </w:rPr>
        <w:t xml:space="preserve">tiler, kemik iliği yetmezlikleri ve konjenital metabolik hastalıklarda hayat kurtarıcı bir tedavi yöntemi olarak kabul edilmektedir. </w:t>
      </w:r>
    </w:p>
    <w:p w:rsidR="00D46298" w:rsidRPr="0019774B" w:rsidRDefault="00D46298" w:rsidP="00D46298">
      <w:pPr>
        <w:pStyle w:val="Default"/>
        <w:spacing w:line="250" w:lineRule="auto"/>
        <w:jc w:val="both"/>
        <w:rPr>
          <w:rFonts w:ascii="Times New Roman" w:hAnsi="Times New Roman" w:cs="Times New Roman"/>
          <w:sz w:val="20"/>
          <w:szCs w:val="20"/>
        </w:rPr>
      </w:pPr>
      <w:r w:rsidRPr="0019774B">
        <w:rPr>
          <w:rStyle w:val="A1"/>
          <w:rFonts w:ascii="Times New Roman" w:hAnsi="Times New Roman" w:cs="Times New Roman"/>
        </w:rPr>
        <w:t>Ülkemizde, bugüne kadar 3300 kadar kök hücre na</w:t>
      </w:r>
      <w:r w:rsidRPr="0019774B">
        <w:rPr>
          <w:rStyle w:val="A1"/>
          <w:rFonts w:ascii="Times New Roman" w:hAnsi="Times New Roman" w:cs="Times New Roman"/>
        </w:rPr>
        <w:t>k</w:t>
      </w:r>
      <w:r>
        <w:rPr>
          <w:rStyle w:val="A1"/>
          <w:rFonts w:ascii="Times New Roman" w:hAnsi="Times New Roman" w:cs="Times New Roman"/>
        </w:rPr>
        <w:t>-</w:t>
      </w:r>
      <w:r w:rsidRPr="0019774B">
        <w:rPr>
          <w:rStyle w:val="A1"/>
          <w:rFonts w:ascii="Times New Roman" w:hAnsi="Times New Roman" w:cs="Times New Roman"/>
        </w:rPr>
        <w:t>linin yapıldığı ve ilginç olarak bunların %52,5’unun malign olmayan hastalıkların oluşturduğu görülme</w:t>
      </w:r>
      <w:r w:rsidRPr="0019774B">
        <w:rPr>
          <w:rStyle w:val="A1"/>
          <w:rFonts w:ascii="Times New Roman" w:hAnsi="Times New Roman" w:cs="Times New Roman"/>
        </w:rPr>
        <w:t>k</w:t>
      </w:r>
      <w:r>
        <w:rPr>
          <w:rStyle w:val="A1"/>
          <w:rFonts w:ascii="Times New Roman" w:hAnsi="Times New Roman" w:cs="Times New Roman"/>
        </w:rPr>
        <w:t>-</w:t>
      </w:r>
      <w:r w:rsidRPr="0019774B">
        <w:rPr>
          <w:rStyle w:val="A1"/>
          <w:rFonts w:ascii="Times New Roman" w:hAnsi="Times New Roman" w:cs="Times New Roman"/>
        </w:rPr>
        <w:t xml:space="preserve">tedir. </w:t>
      </w:r>
    </w:p>
    <w:p w:rsidR="00D46298" w:rsidRPr="0019774B" w:rsidRDefault="00D46298" w:rsidP="00D46298">
      <w:pPr>
        <w:pStyle w:val="Pa1"/>
        <w:spacing w:line="250" w:lineRule="auto"/>
        <w:jc w:val="both"/>
        <w:rPr>
          <w:rStyle w:val="A1"/>
          <w:rFonts w:ascii="Times New Roman" w:hAnsi="Times New Roman" w:cs="Times New Roman"/>
          <w:b/>
          <w:bCs/>
        </w:rPr>
      </w:pP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Kök Hücre Kaynakları</w:t>
      </w:r>
    </w:p>
    <w:p w:rsidR="00D46298" w:rsidRPr="0019774B" w:rsidRDefault="00D46298" w:rsidP="00D46298">
      <w:pPr>
        <w:pStyle w:val="Default"/>
        <w:spacing w:after="120" w:line="250" w:lineRule="auto"/>
        <w:jc w:val="both"/>
        <w:rPr>
          <w:rStyle w:val="A1"/>
          <w:rFonts w:ascii="Times New Roman" w:hAnsi="Times New Roman" w:cs="Times New Roman"/>
        </w:rPr>
      </w:pPr>
      <w:r w:rsidRPr="0019774B">
        <w:rPr>
          <w:rStyle w:val="A1"/>
          <w:rFonts w:ascii="Times New Roman" w:hAnsi="Times New Roman" w:cs="Times New Roman"/>
          <w:b/>
          <w:bCs/>
        </w:rPr>
        <w:t>Kemik İliği</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HKHT da klasik kök hücre kaynağı kemik iliğidir. Kemik iliği toplama işlemi “krista iliaca posterior superior” lojundan multipl ponksiyonlar ile ve genel anestezi altında yapılır. Başarılı bir engrafman için en az 2 - 4 X10</w:t>
      </w:r>
      <w:r w:rsidRPr="0019774B">
        <w:rPr>
          <w:rStyle w:val="A1"/>
          <w:rFonts w:ascii="Times New Roman" w:hAnsi="Times New Roman" w:cs="Times New Roman"/>
          <w:vertAlign w:val="superscript"/>
        </w:rPr>
        <w:t xml:space="preserve">8 </w:t>
      </w:r>
      <w:r w:rsidRPr="0019774B">
        <w:rPr>
          <w:rStyle w:val="A1"/>
          <w:rFonts w:ascii="Times New Roman" w:hAnsi="Times New Roman" w:cs="Times New Roman"/>
        </w:rPr>
        <w:t xml:space="preserve">/kg (alıcı vücut ağırlığı) çekirdekli hücre toplanması hedeflenmektedir.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lastRenderedPageBreak/>
        <w:t>Periferik Kan</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Son yıllarda, çoğu merkez otolog transplantasyonlarda kök hücre toplama işlemini periferik kandan yapmayı tercih etmektedir. Erişkin hastalarda kardeş veya akraba dışı nakillerde periferik kan kök hücre (PKH) kemik iliğinden daha çok kullanılır hale gelmiştir. Çocuk olgularda kemik iliği ürünü daha çok tercih edilmesine rağmen PKH kullanımı da artmaktadır. Sağlıklı çocuk vericilerden PKH toplanması ile ilgili bazı çekinceler varsa da işlemin güvenli olduğu ve yeterli sayıda CD34(+) kök hücrenin kolaylıkla topl</w:t>
      </w:r>
      <w:r w:rsidRPr="0019774B">
        <w:rPr>
          <w:rStyle w:val="A1"/>
          <w:rFonts w:ascii="Times New Roman" w:hAnsi="Times New Roman" w:cs="Times New Roman"/>
        </w:rPr>
        <w:t>a</w:t>
      </w:r>
      <w:r w:rsidRPr="0019774B">
        <w:rPr>
          <w:rStyle w:val="A1"/>
          <w:rFonts w:ascii="Times New Roman" w:hAnsi="Times New Roman" w:cs="Times New Roman"/>
        </w:rPr>
        <w:t>nabileceğini bildiren birçok çalışma yayınlanmış</w:t>
      </w:r>
      <w:r>
        <w:rPr>
          <w:rStyle w:val="A1"/>
          <w:rFonts w:ascii="Times New Roman" w:hAnsi="Times New Roman" w:cs="Times New Roman"/>
        </w:rPr>
        <w:t>-tır. Alloje</w:t>
      </w:r>
      <w:r w:rsidRPr="0019774B">
        <w:rPr>
          <w:rStyle w:val="A1"/>
          <w:rFonts w:ascii="Times New Roman" w:hAnsi="Times New Roman" w:cs="Times New Roman"/>
        </w:rPr>
        <w:t xml:space="preserve">nik periferik kök hücre transplantasyonunun (PKHT) en önemli avantajı erken nötrofil ve trombosit engrafmenti sonucu infeksiyöz komplikasyonların sayı ve şiddetinin azalması, daha az transfüzyon desteği ve hastanede kalış süresinin daha kısa olmasıdır. </w:t>
      </w:r>
    </w:p>
    <w:p w:rsidR="00D46298" w:rsidRPr="0019774B" w:rsidRDefault="00D46298" w:rsidP="00D46298">
      <w:pPr>
        <w:pStyle w:val="Pa1"/>
        <w:spacing w:after="240" w:line="250" w:lineRule="auto"/>
        <w:jc w:val="both"/>
        <w:rPr>
          <w:rStyle w:val="A1"/>
          <w:rFonts w:ascii="Times New Roman" w:hAnsi="Times New Roman" w:cs="Times New Roman"/>
        </w:rPr>
      </w:pPr>
      <w:r w:rsidRPr="0019774B">
        <w:rPr>
          <w:rStyle w:val="A1"/>
          <w:rFonts w:ascii="Times New Roman" w:hAnsi="Times New Roman" w:cs="Times New Roman"/>
        </w:rPr>
        <w:t>Avantajların yanı sıra çocuk olgularda bazı sorunlar olduğu da unutulmamalıdır; Bunlardan biri toplama işlemi için venöz giriş gereksinimidir. Genellikle küçük çocuklarda kök hücre aferezi için yeterli kan akımı sağlamak amacıyla kateterizasyon gerekir. Çift lümenli bir kateter ile subklavyen veya femoral yoldan kateterizasyon yapılır. İkinci sorun kök hücre mobili</w:t>
      </w:r>
      <w:r>
        <w:rPr>
          <w:rStyle w:val="A1"/>
          <w:rFonts w:ascii="Times New Roman" w:hAnsi="Times New Roman" w:cs="Times New Roman"/>
        </w:rPr>
        <w:t>-</w:t>
      </w:r>
      <w:r w:rsidRPr="0019774B">
        <w:rPr>
          <w:rStyle w:val="A1"/>
          <w:rFonts w:ascii="Times New Roman" w:hAnsi="Times New Roman" w:cs="Times New Roman"/>
        </w:rPr>
        <w:t>zasyonu için G-CSF kullanımıdır. Ayrıca yü</w:t>
      </w:r>
      <w:r w:rsidRPr="0019774B">
        <w:rPr>
          <w:rStyle w:val="A1"/>
          <w:rFonts w:ascii="Times New Roman" w:hAnsi="Times New Roman" w:cs="Times New Roman"/>
        </w:rPr>
        <w:t>k</w:t>
      </w:r>
      <w:r w:rsidRPr="0019774B">
        <w:rPr>
          <w:rStyle w:val="A1"/>
          <w:rFonts w:ascii="Times New Roman" w:hAnsi="Times New Roman" w:cs="Times New Roman"/>
        </w:rPr>
        <w:t>sek sayıda (5-10 kat) lenfoid hücre verilmesi nedeni</w:t>
      </w:r>
      <w:r w:rsidRPr="0019774B">
        <w:rPr>
          <w:rStyle w:val="A1"/>
          <w:rFonts w:ascii="Times New Roman" w:hAnsi="Times New Roman" w:cs="Times New Roman"/>
        </w:rPr>
        <w:t>y</w:t>
      </w:r>
      <w:r w:rsidRPr="0019774B">
        <w:rPr>
          <w:rStyle w:val="A1"/>
          <w:rFonts w:ascii="Times New Roman" w:hAnsi="Times New Roman" w:cs="Times New Roman"/>
        </w:rPr>
        <w:t xml:space="preserve">le GVHD riski de artmaktadır.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Umbilikal Kordon Kanı</w:t>
      </w:r>
    </w:p>
    <w:p w:rsidR="00D46298" w:rsidRPr="0019774B" w:rsidRDefault="00D46298" w:rsidP="00D46298">
      <w:pPr>
        <w:pStyle w:val="Pa3"/>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İlk kez 20 yıl kadar önce gerçekleştirilen başarılı umbilikal kord kanı (UKK) transplantasyonun</w:t>
      </w:r>
      <w:r w:rsidRPr="0019774B">
        <w:rPr>
          <w:rStyle w:val="A1"/>
          <w:rFonts w:ascii="Times New Roman" w:hAnsi="Times New Roman" w:cs="Times New Roman"/>
        </w:rPr>
        <w:softHyphen/>
        <w:t>dan sonra gittikçe kull</w:t>
      </w:r>
      <w:r w:rsidRPr="0019774B">
        <w:rPr>
          <w:rStyle w:val="A1"/>
          <w:rFonts w:ascii="Times New Roman" w:hAnsi="Times New Roman" w:cs="Times New Roman"/>
        </w:rPr>
        <w:t>a</w:t>
      </w:r>
      <w:r w:rsidRPr="0019774B">
        <w:rPr>
          <w:rStyle w:val="A1"/>
          <w:rFonts w:ascii="Times New Roman" w:hAnsi="Times New Roman" w:cs="Times New Roman"/>
        </w:rPr>
        <w:t>nımı artarak HKHT’nda kök hücre kaynağı için bir seçenek oluşturmuştur. Kolay elde edilebilmesi, tarama sürecinin kısa olması, viral kon</w:t>
      </w:r>
      <w:r>
        <w:rPr>
          <w:rStyle w:val="A1"/>
          <w:rFonts w:ascii="Times New Roman" w:hAnsi="Times New Roman" w:cs="Times New Roman"/>
        </w:rPr>
        <w:t>-</w:t>
      </w:r>
      <w:r w:rsidRPr="0019774B">
        <w:rPr>
          <w:rStyle w:val="A1"/>
          <w:rFonts w:ascii="Times New Roman" w:hAnsi="Times New Roman" w:cs="Times New Roman"/>
        </w:rPr>
        <w:t>taminasyon ve GVHD riskinin düşük olması en önemli avantajıdır. Ayrıca 1-2 antijen uyumsuzluğu</w:t>
      </w:r>
      <w:r w:rsidRPr="0019774B">
        <w:rPr>
          <w:rStyle w:val="A1"/>
          <w:rFonts w:ascii="Times New Roman" w:hAnsi="Times New Roman" w:cs="Times New Roman"/>
        </w:rPr>
        <w:t>n</w:t>
      </w:r>
      <w:r>
        <w:rPr>
          <w:rStyle w:val="A1"/>
          <w:rFonts w:ascii="Times New Roman" w:hAnsi="Times New Roman" w:cs="Times New Roman"/>
        </w:rPr>
        <w:t>-</w:t>
      </w:r>
      <w:r w:rsidRPr="0019774B">
        <w:rPr>
          <w:rStyle w:val="A1"/>
          <w:rFonts w:ascii="Times New Roman" w:hAnsi="Times New Roman" w:cs="Times New Roman"/>
        </w:rPr>
        <w:t xml:space="preserve">da kullanılabilmesi nedeniyle seyrek rastlanan HLA gruplarına sahip olgularda önemli bir alternatiftir. Buna karşılık hücre sayısının kısıtlı olması kullanımını azaltan önemli bir faktördür. </w:t>
      </w:r>
    </w:p>
    <w:p w:rsidR="00D46298" w:rsidRPr="0019774B" w:rsidRDefault="00D46298" w:rsidP="00D46298">
      <w:pPr>
        <w:pStyle w:val="Pa3"/>
        <w:spacing w:after="120" w:line="250" w:lineRule="auto"/>
        <w:jc w:val="both"/>
        <w:rPr>
          <w:rStyle w:val="A1"/>
          <w:rFonts w:ascii="Times New Roman" w:hAnsi="Times New Roman" w:cs="Times New Roman"/>
        </w:rPr>
      </w:pPr>
      <w:r w:rsidRPr="0019774B">
        <w:rPr>
          <w:rStyle w:val="A1"/>
          <w:rFonts w:ascii="Times New Roman" w:hAnsi="Times New Roman" w:cs="Times New Roman"/>
        </w:rPr>
        <w:t>Genellikle kabul edilen hücre sayısı CD34 (+) hücre için &gt; 2,5 x10</w:t>
      </w:r>
      <w:r w:rsidRPr="0019774B">
        <w:rPr>
          <w:rStyle w:val="A1"/>
          <w:rFonts w:ascii="Times New Roman" w:hAnsi="Times New Roman" w:cs="Times New Roman"/>
          <w:vertAlign w:val="superscript"/>
        </w:rPr>
        <w:t>5</w:t>
      </w:r>
      <w:r w:rsidRPr="0019774B">
        <w:rPr>
          <w:rStyle w:val="A1"/>
          <w:rFonts w:ascii="Times New Roman" w:hAnsi="Times New Roman" w:cs="Times New Roman"/>
        </w:rPr>
        <w:t>/kg ve toplam çekirdekli hücre için &gt;2,5X10</w:t>
      </w:r>
      <w:r w:rsidRPr="0019774B">
        <w:rPr>
          <w:rStyle w:val="A1"/>
          <w:rFonts w:ascii="Times New Roman" w:hAnsi="Times New Roman" w:cs="Times New Roman"/>
          <w:vertAlign w:val="superscript"/>
        </w:rPr>
        <w:t>7</w:t>
      </w:r>
      <w:r w:rsidRPr="0019774B">
        <w:rPr>
          <w:rStyle w:val="A1"/>
          <w:rFonts w:ascii="Times New Roman" w:hAnsi="Times New Roman" w:cs="Times New Roman"/>
        </w:rPr>
        <w:t>/kg’dir. Yetersiz hücre sayısı graft yetmez</w:t>
      </w:r>
      <w:r>
        <w:rPr>
          <w:rStyle w:val="A1"/>
          <w:rFonts w:ascii="Times New Roman" w:hAnsi="Times New Roman" w:cs="Times New Roman"/>
        </w:rPr>
        <w:t>-</w:t>
      </w:r>
      <w:r w:rsidRPr="0019774B">
        <w:rPr>
          <w:rStyle w:val="A1"/>
          <w:rFonts w:ascii="Times New Roman" w:hAnsi="Times New Roman" w:cs="Times New Roman"/>
        </w:rPr>
        <w:t>l</w:t>
      </w:r>
      <w:r w:rsidRPr="0019774B">
        <w:rPr>
          <w:rStyle w:val="A1"/>
          <w:rFonts w:ascii="Times New Roman" w:hAnsi="Times New Roman" w:cs="Times New Roman"/>
        </w:rPr>
        <w:t>i</w:t>
      </w:r>
      <w:r w:rsidRPr="0019774B">
        <w:rPr>
          <w:rStyle w:val="A1"/>
          <w:rFonts w:ascii="Times New Roman" w:hAnsi="Times New Roman" w:cs="Times New Roman"/>
        </w:rPr>
        <w:t xml:space="preserve">ği ile sonuçlanabilir. Son yıllarda, hücre kültürleri ile </w:t>
      </w:r>
      <w:r w:rsidRPr="0019774B">
        <w:rPr>
          <w:rStyle w:val="A1"/>
          <w:rFonts w:ascii="Times New Roman" w:hAnsi="Times New Roman" w:cs="Times New Roman"/>
        </w:rPr>
        <w:lastRenderedPageBreak/>
        <w:t>hücre sa</w:t>
      </w:r>
      <w:r w:rsidRPr="0019774B">
        <w:rPr>
          <w:rStyle w:val="A1"/>
          <w:rFonts w:ascii="Times New Roman" w:hAnsi="Times New Roman" w:cs="Times New Roman"/>
        </w:rPr>
        <w:softHyphen/>
        <w:t xml:space="preserve">yısını artırma, çift ünite ile transplantasyon, kemik içine infüzyon ve başka bir donörden elde edilen PKH’lerin eş zamanlı infüzyonu gibi yöntemler ile UKK transplantasyonlarında graft yetmezliğinin önlenebileceği bildirilmektedir. </w:t>
      </w:r>
    </w:p>
    <w:p w:rsidR="00D46298" w:rsidRPr="0019774B" w:rsidRDefault="00D46298" w:rsidP="00D46298">
      <w:pPr>
        <w:pStyle w:val="Pa3"/>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Hazırlama Rejimleri</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HKHT hazırlık aşamasındaki kullanılan protokoller şu amaçla uygulanmaktadır;</w:t>
      </w:r>
    </w:p>
    <w:p w:rsidR="00D46298" w:rsidRPr="003E5C49" w:rsidRDefault="00D46298" w:rsidP="00D46298">
      <w:pPr>
        <w:pStyle w:val="Pa4"/>
        <w:spacing w:after="120" w:line="250" w:lineRule="auto"/>
        <w:ind w:left="252" w:hanging="252"/>
        <w:jc w:val="both"/>
        <w:rPr>
          <w:rFonts w:ascii="Times New Roman" w:hAnsi="Times New Roman" w:cs="Times New Roman"/>
          <w:color w:val="000000"/>
          <w:spacing w:val="-2"/>
          <w:sz w:val="20"/>
          <w:szCs w:val="20"/>
        </w:rPr>
      </w:pPr>
      <w:r w:rsidRPr="003E5C49">
        <w:rPr>
          <w:rStyle w:val="A1"/>
          <w:rFonts w:ascii="Times New Roman" w:hAnsi="Times New Roman" w:cs="Times New Roman"/>
          <w:spacing w:val="-2"/>
        </w:rPr>
        <w:t>1.</w:t>
      </w:r>
      <w:r w:rsidRPr="003E5C49">
        <w:rPr>
          <w:rStyle w:val="A1"/>
          <w:rFonts w:ascii="Times New Roman" w:hAnsi="Times New Roman" w:cs="Times New Roman"/>
          <w:spacing w:val="-2"/>
        </w:rPr>
        <w:tab/>
        <w:t>Graft için yer açma; verilecek kök hücrelerin k</w:t>
      </w:r>
      <w:r w:rsidRPr="003E5C49">
        <w:rPr>
          <w:rStyle w:val="A1"/>
          <w:rFonts w:ascii="Times New Roman" w:hAnsi="Times New Roman" w:cs="Times New Roman"/>
          <w:spacing w:val="-2"/>
        </w:rPr>
        <w:t>e</w:t>
      </w:r>
      <w:r w:rsidRPr="003E5C49">
        <w:rPr>
          <w:rStyle w:val="A1"/>
          <w:rFonts w:ascii="Times New Roman" w:hAnsi="Times New Roman" w:cs="Times New Roman"/>
          <w:spacing w:val="-2"/>
        </w:rPr>
        <w:t>mik iliği stromasında nişlere yerleşmesi ve engrafman oluşması,</w:t>
      </w:r>
    </w:p>
    <w:p w:rsidR="00D46298" w:rsidRPr="003E5C49" w:rsidRDefault="00D46298" w:rsidP="00D46298">
      <w:pPr>
        <w:pStyle w:val="Pa4"/>
        <w:spacing w:after="120" w:line="250" w:lineRule="auto"/>
        <w:ind w:left="252" w:hanging="252"/>
        <w:jc w:val="both"/>
        <w:rPr>
          <w:rFonts w:ascii="Times New Roman" w:hAnsi="Times New Roman" w:cs="Times New Roman"/>
          <w:color w:val="000000"/>
          <w:spacing w:val="-2"/>
          <w:sz w:val="20"/>
          <w:szCs w:val="20"/>
        </w:rPr>
      </w:pPr>
      <w:r w:rsidRPr="003E5C49">
        <w:rPr>
          <w:rStyle w:val="A1"/>
          <w:rFonts w:ascii="Times New Roman" w:hAnsi="Times New Roman" w:cs="Times New Roman"/>
          <w:spacing w:val="-2"/>
        </w:rPr>
        <w:t>2.</w:t>
      </w:r>
      <w:r w:rsidRPr="003E5C49">
        <w:rPr>
          <w:rStyle w:val="A1"/>
          <w:rFonts w:ascii="Times New Roman" w:hAnsi="Times New Roman" w:cs="Times New Roman"/>
          <w:spacing w:val="-2"/>
        </w:rPr>
        <w:tab/>
        <w:t>Alıcı immün sisteminin baskılanması; greft rejeksi</w:t>
      </w:r>
      <w:r>
        <w:rPr>
          <w:rStyle w:val="A1"/>
          <w:rFonts w:ascii="Times New Roman" w:hAnsi="Times New Roman" w:cs="Times New Roman"/>
          <w:spacing w:val="-2"/>
        </w:rPr>
        <w:t>-</w:t>
      </w:r>
      <w:r w:rsidRPr="003E5C49">
        <w:rPr>
          <w:rStyle w:val="A1"/>
          <w:rFonts w:ascii="Times New Roman" w:hAnsi="Times New Roman" w:cs="Times New Roman"/>
          <w:spacing w:val="-2"/>
        </w:rPr>
        <w:t>yonunun önlenmesi için alıcı immün sisteminin ba</w:t>
      </w:r>
      <w:r w:rsidRPr="003E5C49">
        <w:rPr>
          <w:rStyle w:val="A1"/>
          <w:rFonts w:ascii="Times New Roman" w:hAnsi="Times New Roman" w:cs="Times New Roman"/>
          <w:spacing w:val="-2"/>
        </w:rPr>
        <w:t>s</w:t>
      </w:r>
      <w:r w:rsidRPr="003E5C49">
        <w:rPr>
          <w:rStyle w:val="A1"/>
          <w:rFonts w:ascii="Times New Roman" w:hAnsi="Times New Roman" w:cs="Times New Roman"/>
          <w:spacing w:val="-2"/>
        </w:rPr>
        <w:t xml:space="preserve">kılanması gereklidir. </w:t>
      </w:r>
    </w:p>
    <w:p w:rsidR="00D46298" w:rsidRPr="0019774B" w:rsidRDefault="00D46298" w:rsidP="00D46298">
      <w:pPr>
        <w:pStyle w:val="Pa4"/>
        <w:spacing w:after="120" w:line="250" w:lineRule="auto"/>
        <w:ind w:left="252" w:hanging="252"/>
        <w:jc w:val="both"/>
        <w:rPr>
          <w:rStyle w:val="A1"/>
          <w:rFonts w:ascii="Times New Roman" w:hAnsi="Times New Roman" w:cs="Times New Roman"/>
        </w:rPr>
      </w:pPr>
      <w:r w:rsidRPr="0019774B">
        <w:rPr>
          <w:rStyle w:val="A1"/>
          <w:rFonts w:ascii="Times New Roman" w:hAnsi="Times New Roman" w:cs="Times New Roman"/>
        </w:rPr>
        <w:t>3.</w:t>
      </w:r>
      <w:r>
        <w:rPr>
          <w:rStyle w:val="A1"/>
          <w:rFonts w:ascii="Times New Roman" w:hAnsi="Times New Roman" w:cs="Times New Roman"/>
        </w:rPr>
        <w:tab/>
      </w:r>
      <w:r w:rsidRPr="0019774B">
        <w:rPr>
          <w:rStyle w:val="A1"/>
          <w:rFonts w:ascii="Times New Roman" w:hAnsi="Times New Roman" w:cs="Times New Roman"/>
        </w:rPr>
        <w:t xml:space="preserve">Primer hastalığın eradikasyonu; bu sayede malign hastalıklarda uzun süreli remisyon sağlanır. </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Genellikle çocuklar erişkinlere oranla hazırlama rej</w:t>
      </w:r>
      <w:r w:rsidRPr="0019774B">
        <w:rPr>
          <w:rStyle w:val="A1"/>
          <w:rFonts w:ascii="Times New Roman" w:hAnsi="Times New Roman" w:cs="Times New Roman"/>
        </w:rPr>
        <w:t>i</w:t>
      </w:r>
      <w:r>
        <w:rPr>
          <w:rStyle w:val="A1"/>
          <w:rFonts w:ascii="Times New Roman" w:hAnsi="Times New Roman" w:cs="Times New Roman"/>
        </w:rPr>
        <w:t>-</w:t>
      </w:r>
      <w:r w:rsidRPr="0019774B">
        <w:rPr>
          <w:rStyle w:val="A1"/>
          <w:rFonts w:ascii="Times New Roman" w:hAnsi="Times New Roman" w:cs="Times New Roman"/>
        </w:rPr>
        <w:t>minin yan etkilerini daha iyi tolere ederler. Hazırlama rejimi ola</w:t>
      </w:r>
      <w:r w:rsidRPr="0019774B">
        <w:rPr>
          <w:rStyle w:val="A1"/>
          <w:rFonts w:ascii="Times New Roman" w:hAnsi="Times New Roman" w:cs="Times New Roman"/>
        </w:rPr>
        <w:softHyphen/>
        <w:t>rak total vücut ışınlaması (TBI) çocuklarda geç yan etki olarak büyüme ve puberte geriliğine yol açabilmektedir. Bu nede</w:t>
      </w:r>
      <w:r w:rsidRPr="0019774B">
        <w:rPr>
          <w:rStyle w:val="A1"/>
          <w:rFonts w:ascii="Times New Roman" w:hAnsi="Times New Roman" w:cs="Times New Roman"/>
        </w:rPr>
        <w:t>n</w:t>
      </w:r>
      <w:r w:rsidRPr="0019774B">
        <w:rPr>
          <w:rStyle w:val="A1"/>
          <w:rFonts w:ascii="Times New Roman" w:hAnsi="Times New Roman" w:cs="Times New Roman"/>
        </w:rPr>
        <w:t>le, küçük çocuklar</w:t>
      </w:r>
      <w:r w:rsidRPr="0019774B">
        <w:rPr>
          <w:rStyle w:val="A1"/>
          <w:rFonts w:ascii="Times New Roman" w:hAnsi="Times New Roman" w:cs="Times New Roman"/>
        </w:rPr>
        <w:softHyphen/>
        <w:t xml:space="preserve">da 2 yaş altında TBI kullanılması pek önerilmemektedir. En sık kullanılan hazırlama rejimi busulfan ile siklofosfamid kombinasyonudur. Altta yatan hastalığın özelliğine göre bazı ilaçlar da eklenebilmektedir. Bazı ALL çalışmalarında ise TBI+siklofosfamid ile daha başarılı sonuçlar bildirilmiştir. Akraba dışı uygulamalarda ATG / monoklonal antikorlar da verilmektedir. </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Klasik myeloablatif rejimler ile morbidite ve morta</w:t>
      </w:r>
      <w:r>
        <w:rPr>
          <w:rStyle w:val="A1"/>
          <w:rFonts w:ascii="Times New Roman" w:hAnsi="Times New Roman" w:cs="Times New Roman"/>
        </w:rPr>
        <w:t>-</w:t>
      </w:r>
      <w:r w:rsidRPr="0019774B">
        <w:rPr>
          <w:rStyle w:val="A1"/>
          <w:rFonts w:ascii="Times New Roman" w:hAnsi="Times New Roman" w:cs="Times New Roman"/>
        </w:rPr>
        <w:t>litenin yüksek olması nedeniyle son yıllarda daha az toksik ve daha düşük dozlar içeren azaltılmış yoğu</w:t>
      </w:r>
      <w:r w:rsidRPr="0019774B">
        <w:rPr>
          <w:rStyle w:val="A1"/>
          <w:rFonts w:ascii="Times New Roman" w:hAnsi="Times New Roman" w:cs="Times New Roman"/>
        </w:rPr>
        <w:t>n</w:t>
      </w:r>
      <w:r>
        <w:rPr>
          <w:rStyle w:val="A1"/>
          <w:rFonts w:ascii="Times New Roman" w:hAnsi="Times New Roman" w:cs="Times New Roman"/>
        </w:rPr>
        <w:t>-</w:t>
      </w:r>
      <w:r w:rsidRPr="0019774B">
        <w:rPr>
          <w:rStyle w:val="A1"/>
          <w:rFonts w:ascii="Times New Roman" w:hAnsi="Times New Roman" w:cs="Times New Roman"/>
        </w:rPr>
        <w:t>lukta hazırlama rejimleri (RIC) geliştirilmiştir. Bu konuda, başarılı bir engrafman için minimum gerek</w:t>
      </w:r>
      <w:r>
        <w:rPr>
          <w:rStyle w:val="A1"/>
          <w:rFonts w:ascii="Times New Roman" w:hAnsi="Times New Roman" w:cs="Times New Roman"/>
        </w:rPr>
        <w:t>-</w:t>
      </w:r>
      <w:r w:rsidRPr="0019774B">
        <w:rPr>
          <w:rStyle w:val="A1"/>
          <w:rFonts w:ascii="Times New Roman" w:hAnsi="Times New Roman" w:cs="Times New Roman"/>
        </w:rPr>
        <w:t>s</w:t>
      </w:r>
      <w:r w:rsidRPr="0019774B">
        <w:rPr>
          <w:rStyle w:val="A1"/>
          <w:rFonts w:ascii="Times New Roman" w:hAnsi="Times New Roman" w:cs="Times New Roman"/>
        </w:rPr>
        <w:t>i</w:t>
      </w:r>
      <w:r w:rsidRPr="0019774B">
        <w:rPr>
          <w:rStyle w:val="A1"/>
          <w:rFonts w:ascii="Times New Roman" w:hAnsi="Times New Roman" w:cs="Times New Roman"/>
        </w:rPr>
        <w:t>nim, donör lenfositlerini</w:t>
      </w:r>
      <w:r>
        <w:rPr>
          <w:rStyle w:val="A1"/>
          <w:rFonts w:ascii="Times New Roman" w:hAnsi="Times New Roman" w:cs="Times New Roman"/>
        </w:rPr>
        <w:t xml:space="preserve"> içeren greft ile donör kime-riz</w:t>
      </w:r>
      <w:r w:rsidRPr="0019774B">
        <w:rPr>
          <w:rStyle w:val="A1"/>
          <w:rFonts w:ascii="Times New Roman" w:hAnsi="Times New Roman" w:cs="Times New Roman"/>
        </w:rPr>
        <w:t>minin sağlanabilmesi için yeterli immünsupresyon ve tra</w:t>
      </w:r>
      <w:r>
        <w:rPr>
          <w:rStyle w:val="A1"/>
          <w:rFonts w:ascii="Times New Roman" w:hAnsi="Times New Roman" w:cs="Times New Roman"/>
        </w:rPr>
        <w:t>nsplant sonrası remisyonun deva</w:t>
      </w:r>
      <w:r w:rsidRPr="0019774B">
        <w:rPr>
          <w:rStyle w:val="A1"/>
          <w:rFonts w:ascii="Times New Roman" w:hAnsi="Times New Roman" w:cs="Times New Roman"/>
        </w:rPr>
        <w:t>mı için yeterli antitümör /antilösemik etkidir. Non-malign hastalı</w:t>
      </w:r>
      <w:r w:rsidRPr="0019774B">
        <w:rPr>
          <w:rStyle w:val="A1"/>
          <w:rFonts w:ascii="Times New Roman" w:hAnsi="Times New Roman" w:cs="Times New Roman"/>
        </w:rPr>
        <w:t>k</w:t>
      </w:r>
      <w:r>
        <w:rPr>
          <w:rStyle w:val="A1"/>
          <w:rFonts w:ascii="Times New Roman" w:hAnsi="Times New Roman" w:cs="Times New Roman"/>
        </w:rPr>
        <w:t>-</w:t>
      </w:r>
      <w:r w:rsidRPr="0019774B">
        <w:rPr>
          <w:rStyle w:val="A1"/>
          <w:rFonts w:ascii="Times New Roman" w:hAnsi="Times New Roman" w:cs="Times New Roman"/>
        </w:rPr>
        <w:t>larda kusurlu alıcı hematopoezinin normal donör hücreleri ile değiştiri</w:t>
      </w:r>
      <w:r w:rsidRPr="0019774B">
        <w:rPr>
          <w:rStyle w:val="A1"/>
          <w:rFonts w:ascii="Times New Roman" w:hAnsi="Times New Roman" w:cs="Times New Roman"/>
        </w:rPr>
        <w:t>l</w:t>
      </w:r>
      <w:r w:rsidRPr="0019774B">
        <w:rPr>
          <w:rStyle w:val="A1"/>
          <w:rFonts w:ascii="Times New Roman" w:hAnsi="Times New Roman" w:cs="Times New Roman"/>
        </w:rPr>
        <w:t>mesi veya alıcıda eksik olan bir enzimin yapılabilecek duruma gelmesi azaltılmış yoğunlukta hazırlama rejimleri ile de mümkün olabi</w:t>
      </w:r>
      <w:r w:rsidRPr="0019774B">
        <w:rPr>
          <w:rStyle w:val="A1"/>
          <w:rFonts w:ascii="Times New Roman" w:hAnsi="Times New Roman" w:cs="Times New Roman"/>
        </w:rPr>
        <w:t>l</w:t>
      </w:r>
      <w:r>
        <w:rPr>
          <w:rStyle w:val="A1"/>
          <w:rFonts w:ascii="Times New Roman" w:hAnsi="Times New Roman" w:cs="Times New Roman"/>
        </w:rPr>
        <w:t>mekte</w:t>
      </w:r>
      <w:r w:rsidRPr="0019774B">
        <w:rPr>
          <w:rStyle w:val="A1"/>
          <w:rFonts w:ascii="Times New Roman" w:hAnsi="Times New Roman" w:cs="Times New Roman"/>
        </w:rPr>
        <w:t xml:space="preserve">dir. Fludarabin (FLU), RIC rejimlerinde en sık kullanılan ilaçtır. </w:t>
      </w:r>
    </w:p>
    <w:p w:rsidR="00D46298" w:rsidRPr="0019774B" w:rsidRDefault="00D46298" w:rsidP="00D46298">
      <w:pPr>
        <w:pStyle w:val="Pa1"/>
        <w:spacing w:after="240" w:line="250" w:lineRule="auto"/>
        <w:jc w:val="both"/>
        <w:rPr>
          <w:rStyle w:val="A1"/>
          <w:rFonts w:ascii="Times New Roman" w:hAnsi="Times New Roman" w:cs="Times New Roman"/>
        </w:rPr>
      </w:pPr>
      <w:r w:rsidRPr="0019774B">
        <w:rPr>
          <w:rStyle w:val="A1"/>
          <w:rFonts w:ascii="Times New Roman" w:hAnsi="Times New Roman" w:cs="Times New Roman"/>
        </w:rPr>
        <w:t xml:space="preserve">Malign hastalıklarda ise ana amaç, minimal toksisisite ile maksimal ölçüde greft versus lösemi (GVL) veya greft versus tümör (GVT) etkisi sağlayabilmektir. </w:t>
      </w:r>
    </w:p>
    <w:p w:rsidR="00D46298" w:rsidRPr="0019774B" w:rsidRDefault="00D46298" w:rsidP="00D46298">
      <w:pPr>
        <w:spacing w:after="120" w:line="250" w:lineRule="auto"/>
        <w:jc w:val="both"/>
        <w:rPr>
          <w:color w:val="000000"/>
        </w:rPr>
      </w:pPr>
      <w:r w:rsidRPr="0019774B">
        <w:rPr>
          <w:b/>
          <w:bCs/>
          <w:color w:val="000000"/>
        </w:rPr>
        <w:t>Donör seçimi</w:t>
      </w:r>
      <w:r w:rsidRPr="0019774B">
        <w:rPr>
          <w:color w:val="000000"/>
        </w:rPr>
        <w:t xml:space="preserve"> </w:t>
      </w:r>
    </w:p>
    <w:p w:rsidR="00D46298" w:rsidRPr="0019774B" w:rsidRDefault="00D46298" w:rsidP="00D46298">
      <w:pPr>
        <w:spacing w:after="120" w:line="250" w:lineRule="auto"/>
        <w:jc w:val="both"/>
        <w:rPr>
          <w:color w:val="000000"/>
        </w:rPr>
      </w:pPr>
      <w:r w:rsidRPr="0019774B">
        <w:rPr>
          <w:color w:val="000000"/>
        </w:rPr>
        <w:t>18-55 yaşları arasındaki her sağlıklı kişi potansiyel donördür. Günümüzde donör yaşı alt sınırı 1 yaşa kadar indirilmi</w:t>
      </w:r>
      <w:r w:rsidRPr="0019774B">
        <w:rPr>
          <w:color w:val="000000"/>
        </w:rPr>
        <w:t>ş</w:t>
      </w:r>
      <w:r w:rsidRPr="0019774B">
        <w:rPr>
          <w:color w:val="000000"/>
        </w:rPr>
        <w:t xml:space="preserve">tir. Literatürde 5 aylık donörler dahi </w:t>
      </w:r>
      <w:r w:rsidRPr="0019774B">
        <w:rPr>
          <w:color w:val="000000"/>
        </w:rPr>
        <w:lastRenderedPageBreak/>
        <w:t>gösterilmektedir. Kordon Kanı ise yeni doğan bir bebeğin dolaylı olarak donör olabilme imkanını sa</w:t>
      </w:r>
      <w:r w:rsidRPr="0019774B">
        <w:rPr>
          <w:color w:val="000000"/>
        </w:rPr>
        <w:t>ğ</w:t>
      </w:r>
      <w:r w:rsidRPr="0019774B">
        <w:rPr>
          <w:color w:val="000000"/>
        </w:rPr>
        <w:t>la</w:t>
      </w:r>
      <w:r>
        <w:rPr>
          <w:color w:val="000000"/>
        </w:rPr>
        <w:t>-</w:t>
      </w:r>
      <w:r w:rsidRPr="0019774B">
        <w:rPr>
          <w:color w:val="000000"/>
        </w:rPr>
        <w:t xml:space="preserve">maktadır. </w:t>
      </w:r>
    </w:p>
    <w:p w:rsidR="00D46298" w:rsidRPr="0019774B" w:rsidRDefault="00D46298" w:rsidP="00D46298">
      <w:pPr>
        <w:spacing w:after="240" w:line="250" w:lineRule="auto"/>
        <w:jc w:val="both"/>
        <w:rPr>
          <w:color w:val="000000"/>
        </w:rPr>
      </w:pPr>
      <w:r w:rsidRPr="0019774B">
        <w:rPr>
          <w:color w:val="000000"/>
        </w:rPr>
        <w:t xml:space="preserve">Donörler içinde tam identik kardeş donörler tercih edilmektedir. Ancak, sağlıklı bir kardeşin uygun donör olma olasılığı % 25-30’dur. Bu nedenle, Kİ bankaları aracılığı ile yurtiçi ve yurtdışında akraba dışı vericiler aranarak verici bulma şansı %75-80’e çıkarılmaktadır. </w:t>
      </w:r>
    </w:p>
    <w:p w:rsidR="00D46298" w:rsidRPr="0019774B" w:rsidRDefault="00D46298" w:rsidP="00D46298">
      <w:pPr>
        <w:spacing w:after="120" w:line="250" w:lineRule="auto"/>
        <w:jc w:val="both"/>
        <w:rPr>
          <w:b/>
          <w:bCs/>
          <w:color w:val="000000"/>
        </w:rPr>
      </w:pPr>
      <w:r w:rsidRPr="0019774B">
        <w:rPr>
          <w:b/>
          <w:bCs/>
          <w:color w:val="000000"/>
        </w:rPr>
        <w:t xml:space="preserve">Kök Hücre Ürününün Verilmesi </w:t>
      </w:r>
    </w:p>
    <w:p w:rsidR="00D46298" w:rsidRPr="0019774B" w:rsidRDefault="00D46298" w:rsidP="00D46298">
      <w:pPr>
        <w:spacing w:after="120" w:line="250" w:lineRule="auto"/>
        <w:jc w:val="both"/>
        <w:rPr>
          <w:color w:val="000000"/>
        </w:rPr>
      </w:pPr>
      <w:r w:rsidRPr="0019774B">
        <w:rPr>
          <w:color w:val="000000"/>
        </w:rPr>
        <w:t xml:space="preserve">Yeni elde edilmiş veya çözündürülmüş kök hücre ürünü, bir Hickmann / Broviac tipi santral venöz katater aracılığıyla, 1-2 saatlik sürede, IV infüzyon şeklinde vücuda verilir. </w:t>
      </w:r>
    </w:p>
    <w:p w:rsidR="00D46298" w:rsidRPr="0019774B" w:rsidRDefault="00D46298" w:rsidP="00D46298">
      <w:pPr>
        <w:spacing w:after="120" w:line="250" w:lineRule="auto"/>
        <w:jc w:val="both"/>
        <w:rPr>
          <w:color w:val="000000"/>
        </w:rPr>
      </w:pPr>
      <w:r w:rsidRPr="0019774B">
        <w:rPr>
          <w:color w:val="000000"/>
        </w:rPr>
        <w:t>Dolaşıma katılan stem hücreler Kİ’de 3-4 saat içinde hematopoetik mikro çevreye yerleşir, 3-4 gün sonra üretime başlar. Hematopoetik alana giren kök hücre</w:t>
      </w:r>
      <w:r>
        <w:rPr>
          <w:color w:val="000000"/>
        </w:rPr>
        <w:t>-</w:t>
      </w:r>
      <w:r w:rsidRPr="0019774B">
        <w:rPr>
          <w:color w:val="000000"/>
        </w:rPr>
        <w:t>l</w:t>
      </w:r>
      <w:r w:rsidRPr="0019774B">
        <w:rPr>
          <w:color w:val="000000"/>
        </w:rPr>
        <w:t>e</w:t>
      </w:r>
      <w:r w:rsidRPr="0019774B">
        <w:rPr>
          <w:color w:val="000000"/>
        </w:rPr>
        <w:t xml:space="preserve">rin çoğalarak koloni oluşturması ve üretime geçmesi </w:t>
      </w:r>
      <w:r w:rsidRPr="000835CD">
        <w:rPr>
          <w:color w:val="000000"/>
          <w:spacing w:val="-4"/>
        </w:rPr>
        <w:t>engrafment olarak değe</w:t>
      </w:r>
      <w:r w:rsidRPr="000835CD">
        <w:rPr>
          <w:color w:val="000000"/>
          <w:spacing w:val="-4"/>
        </w:rPr>
        <w:t>r</w:t>
      </w:r>
      <w:r w:rsidRPr="000835CD">
        <w:rPr>
          <w:color w:val="000000"/>
          <w:spacing w:val="-4"/>
        </w:rPr>
        <w:t>lendirilir. Olaysız bir HKHT’nde</w:t>
      </w:r>
      <w:r w:rsidRPr="0019774B">
        <w:rPr>
          <w:color w:val="000000"/>
        </w:rPr>
        <w:t xml:space="preserve"> bu süre ortalama 14-21 gündür, kordon kanı nakill</w:t>
      </w:r>
      <w:r w:rsidRPr="0019774B">
        <w:rPr>
          <w:color w:val="000000"/>
        </w:rPr>
        <w:t>e</w:t>
      </w:r>
      <w:r>
        <w:rPr>
          <w:color w:val="000000"/>
        </w:rPr>
        <w:t>-</w:t>
      </w:r>
      <w:r w:rsidRPr="0019774B">
        <w:rPr>
          <w:color w:val="000000"/>
        </w:rPr>
        <w:t>rinde 6 haftayı da bulabilir. No</w:t>
      </w:r>
      <w:r w:rsidRPr="0019774B">
        <w:rPr>
          <w:color w:val="000000"/>
        </w:rPr>
        <w:t>r</w:t>
      </w:r>
      <w:r w:rsidRPr="0019774B">
        <w:rPr>
          <w:color w:val="000000"/>
        </w:rPr>
        <w:t>mal granülosit ve trombosit düzelmesi 40-50 gün sonra, hematokrit düzelmesi ise 60-90 gün sonra oluşmakt</w:t>
      </w:r>
      <w:r w:rsidRPr="0019774B">
        <w:rPr>
          <w:color w:val="000000"/>
        </w:rPr>
        <w:t>a</w:t>
      </w:r>
      <w:r w:rsidRPr="0019774B">
        <w:rPr>
          <w:color w:val="000000"/>
        </w:rPr>
        <w:t xml:space="preserve">dır. </w:t>
      </w:r>
    </w:p>
    <w:p w:rsidR="00D46298" w:rsidRPr="0019774B" w:rsidRDefault="00D46298" w:rsidP="00D46298">
      <w:pPr>
        <w:spacing w:after="120" w:line="250" w:lineRule="auto"/>
        <w:jc w:val="both"/>
        <w:rPr>
          <w:color w:val="000000"/>
        </w:rPr>
      </w:pPr>
      <w:r w:rsidRPr="0019774B">
        <w:rPr>
          <w:color w:val="000000"/>
        </w:rPr>
        <w:t>Kİ verilmesi sırasında dispne, hipertansiyon gibi yü</w:t>
      </w:r>
      <w:r w:rsidRPr="0019774B">
        <w:rPr>
          <w:color w:val="000000"/>
        </w:rPr>
        <w:t>k</w:t>
      </w:r>
      <w:r w:rsidRPr="0019774B">
        <w:rPr>
          <w:color w:val="000000"/>
        </w:rPr>
        <w:t>lenme belirtileri ve allerjik reaksiyonlar ortaya çık</w:t>
      </w:r>
      <w:r w:rsidRPr="0019774B">
        <w:rPr>
          <w:color w:val="000000"/>
        </w:rPr>
        <w:t>a</w:t>
      </w:r>
      <w:r w:rsidRPr="0019774B">
        <w:rPr>
          <w:color w:val="000000"/>
        </w:rPr>
        <w:t xml:space="preserve">bilmektedir. </w:t>
      </w:r>
    </w:p>
    <w:p w:rsidR="00D46298" w:rsidRPr="00B74000" w:rsidRDefault="00D46298" w:rsidP="00D46298">
      <w:pPr>
        <w:spacing w:after="240" w:line="250" w:lineRule="auto"/>
        <w:jc w:val="both"/>
        <w:rPr>
          <w:color w:val="000000"/>
          <w:spacing w:val="-2"/>
        </w:rPr>
      </w:pPr>
      <w:r w:rsidRPr="00B74000">
        <w:rPr>
          <w:color w:val="000000"/>
          <w:spacing w:val="-2"/>
        </w:rPr>
        <w:t>Erken dönem komplikasyonları içinde görülen graft rejeksiyonu, engraftment sağlandıktan sonra gelişen red olayıdır. Graft başarısızlığı ise graftın tutmamas</w:t>
      </w:r>
      <w:r w:rsidRPr="00B74000">
        <w:rPr>
          <w:color w:val="000000"/>
          <w:spacing w:val="-2"/>
        </w:rPr>
        <w:t>ı</w:t>
      </w:r>
      <w:r w:rsidRPr="00B74000">
        <w:rPr>
          <w:color w:val="000000"/>
          <w:spacing w:val="-2"/>
        </w:rPr>
        <w:t xml:space="preserve">dır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Çocuklarda HKHT endikasyonları</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Akut Lenfoblastik Lösemi</w:t>
      </w:r>
    </w:p>
    <w:p w:rsidR="00D46298" w:rsidRPr="00B74000" w:rsidRDefault="00D46298" w:rsidP="00D46298">
      <w:pPr>
        <w:pStyle w:val="Pa1"/>
        <w:spacing w:after="120" w:line="254" w:lineRule="auto"/>
        <w:jc w:val="both"/>
        <w:rPr>
          <w:rStyle w:val="A1"/>
          <w:rFonts w:ascii="Times New Roman" w:hAnsi="Times New Roman" w:cs="Times New Roman"/>
          <w:spacing w:val="-2"/>
        </w:rPr>
      </w:pPr>
      <w:r w:rsidRPr="00B74000">
        <w:rPr>
          <w:rStyle w:val="A1"/>
          <w:rFonts w:ascii="Times New Roman" w:hAnsi="Times New Roman" w:cs="Times New Roman"/>
          <w:spacing w:val="-2"/>
        </w:rPr>
        <w:t>Birinci tam remisyonda sadece çok yüksek riskli olg</w:t>
      </w:r>
      <w:r w:rsidRPr="00B74000">
        <w:rPr>
          <w:rStyle w:val="A1"/>
          <w:rFonts w:ascii="Times New Roman" w:hAnsi="Times New Roman" w:cs="Times New Roman"/>
          <w:spacing w:val="-2"/>
        </w:rPr>
        <w:t>u</w:t>
      </w:r>
      <w:r w:rsidRPr="00B74000">
        <w:rPr>
          <w:rStyle w:val="A1"/>
          <w:rFonts w:ascii="Times New Roman" w:hAnsi="Times New Roman" w:cs="Times New Roman"/>
          <w:spacing w:val="-2"/>
        </w:rPr>
        <w:t>larda HKHT uygulamaktadır. Moleküler biyolojik belirteçler, kromozomal bozukluklar, prednizolona kötü yanıt veya başlangıç tedavisine yanıtsızlık gibi risk faktörler göz önüne alındığında yüksek risk gr</w:t>
      </w:r>
      <w:r w:rsidRPr="00B74000">
        <w:rPr>
          <w:rStyle w:val="A1"/>
          <w:rFonts w:ascii="Times New Roman" w:hAnsi="Times New Roman" w:cs="Times New Roman"/>
          <w:spacing w:val="-2"/>
        </w:rPr>
        <w:t>u</w:t>
      </w:r>
      <w:r w:rsidRPr="00B74000">
        <w:rPr>
          <w:rStyle w:val="A1"/>
          <w:rFonts w:ascii="Times New Roman" w:hAnsi="Times New Roman" w:cs="Times New Roman"/>
          <w:spacing w:val="-2"/>
        </w:rPr>
        <w:t>buna giren bir çocuk hastada, eğer HLA uygun kardeşi varsa allojenik HKHT’na gidilmel</w:t>
      </w:r>
      <w:r w:rsidRPr="00B74000">
        <w:rPr>
          <w:rStyle w:val="A1"/>
          <w:rFonts w:ascii="Times New Roman" w:hAnsi="Times New Roman" w:cs="Times New Roman"/>
          <w:spacing w:val="-2"/>
        </w:rPr>
        <w:t>i</w:t>
      </w:r>
      <w:r w:rsidRPr="00B74000">
        <w:rPr>
          <w:rStyle w:val="A1"/>
          <w:rFonts w:ascii="Times New Roman" w:hAnsi="Times New Roman" w:cs="Times New Roman"/>
          <w:spacing w:val="-2"/>
        </w:rPr>
        <w:t>dir. BFM grubunun bir çalışmasında birinci tam remisyonda HKHT uyg</w:t>
      </w:r>
      <w:r w:rsidRPr="00B74000">
        <w:rPr>
          <w:rStyle w:val="A1"/>
          <w:rFonts w:ascii="Times New Roman" w:hAnsi="Times New Roman" w:cs="Times New Roman"/>
          <w:spacing w:val="-2"/>
        </w:rPr>
        <w:t>u</w:t>
      </w:r>
      <w:r w:rsidRPr="00B74000">
        <w:rPr>
          <w:rStyle w:val="A1"/>
          <w:rFonts w:ascii="Times New Roman" w:hAnsi="Times New Roman" w:cs="Times New Roman"/>
          <w:spacing w:val="-2"/>
        </w:rPr>
        <w:t>lanan T hücreli ALL olgularında 5 yıllık hast</w:t>
      </w:r>
      <w:r w:rsidRPr="00B74000">
        <w:rPr>
          <w:rStyle w:val="A1"/>
          <w:rFonts w:ascii="Times New Roman" w:hAnsi="Times New Roman" w:cs="Times New Roman"/>
          <w:spacing w:val="-2"/>
        </w:rPr>
        <w:t>a</w:t>
      </w:r>
      <w:r w:rsidRPr="00B74000">
        <w:rPr>
          <w:rStyle w:val="A1"/>
          <w:rFonts w:ascii="Times New Roman" w:hAnsi="Times New Roman" w:cs="Times New Roman"/>
          <w:spacing w:val="-2"/>
        </w:rPr>
        <w:t>lıksız yaşam % 67 bulunurken sadece kemoterapi uygulanan ol</w:t>
      </w:r>
      <w:r w:rsidRPr="00B74000">
        <w:rPr>
          <w:rStyle w:val="A1"/>
          <w:rFonts w:ascii="Times New Roman" w:hAnsi="Times New Roman" w:cs="Times New Roman"/>
          <w:spacing w:val="-2"/>
        </w:rPr>
        <w:softHyphen/>
        <w:t>gularda bu oran % 42’de kalmıştır. Benzer olarak</w:t>
      </w:r>
      <w:r w:rsidRPr="00B74000">
        <w:rPr>
          <w:rStyle w:val="A4"/>
          <w:rFonts w:ascii="Times New Roman" w:hAnsi="Times New Roman" w:cs="Times New Roman"/>
          <w:spacing w:val="-2"/>
          <w:sz w:val="20"/>
          <w:szCs w:val="20"/>
        </w:rPr>
        <w:t xml:space="preserve"> </w:t>
      </w:r>
      <w:r w:rsidRPr="00B74000">
        <w:rPr>
          <w:rStyle w:val="A1"/>
          <w:rFonts w:ascii="Times New Roman" w:hAnsi="Times New Roman" w:cs="Times New Roman"/>
          <w:spacing w:val="-2"/>
        </w:rPr>
        <w:t>çok yüksek riskli ALL olgularında 5 yıllık hastalıksız yaşam oranı HKHT uygulanan grupta % 57, sadece kemoterapi alan olgularda ise % 41 olarak bildirilmi</w:t>
      </w:r>
      <w:r w:rsidRPr="00B74000">
        <w:rPr>
          <w:rStyle w:val="A1"/>
          <w:rFonts w:ascii="Times New Roman" w:hAnsi="Times New Roman" w:cs="Times New Roman"/>
          <w:spacing w:val="-2"/>
        </w:rPr>
        <w:t>ş</w:t>
      </w:r>
      <w:r w:rsidRPr="00B74000">
        <w:rPr>
          <w:rStyle w:val="A1"/>
          <w:rFonts w:ascii="Times New Roman" w:hAnsi="Times New Roman" w:cs="Times New Roman"/>
          <w:spacing w:val="-2"/>
        </w:rPr>
        <w:t xml:space="preserve">tir. </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 xml:space="preserve">Erken relaps ALL olgularında hem akraba hem de akraba dışı HKHT endikasyonu vardır. Eğer HLA uyumlu donör bulunamaz ise akraba dışı kordon kanı, birden fazla doku grubu uyumsuz veya haploidentik nakil düşünülebilir. Klingebiel ve arkadaşları yüksek </w:t>
      </w:r>
      <w:r w:rsidRPr="0019774B">
        <w:rPr>
          <w:rStyle w:val="A1"/>
          <w:rFonts w:ascii="Times New Roman" w:hAnsi="Times New Roman" w:cs="Times New Roman"/>
        </w:rPr>
        <w:lastRenderedPageBreak/>
        <w:t>CD34+ hücre kullanılarak iyi seçilmiş donörler ile deneyimli merkezlerde haploidentik nakillerde başarılı sonuçlar alınabileceğini bildirmişlerdir. ALL olgul</w:t>
      </w:r>
      <w:r w:rsidRPr="0019774B">
        <w:rPr>
          <w:rStyle w:val="A1"/>
          <w:rFonts w:ascii="Times New Roman" w:hAnsi="Times New Roman" w:cs="Times New Roman"/>
        </w:rPr>
        <w:t>a</w:t>
      </w:r>
      <w:r>
        <w:rPr>
          <w:rStyle w:val="A1"/>
          <w:rFonts w:ascii="Times New Roman" w:hAnsi="Times New Roman" w:cs="Times New Roman"/>
        </w:rPr>
        <w:t>-</w:t>
      </w:r>
      <w:r w:rsidRPr="0019774B">
        <w:rPr>
          <w:rStyle w:val="A1"/>
          <w:rFonts w:ascii="Times New Roman" w:hAnsi="Times New Roman" w:cs="Times New Roman"/>
        </w:rPr>
        <w:t>rında otolog HKHT sadece geç relaps veya ekstra</w:t>
      </w:r>
      <w:r>
        <w:rPr>
          <w:rStyle w:val="A1"/>
          <w:rFonts w:ascii="Times New Roman" w:hAnsi="Times New Roman" w:cs="Times New Roman"/>
        </w:rPr>
        <w:t>-</w:t>
      </w:r>
      <w:r w:rsidRPr="0019774B">
        <w:rPr>
          <w:rStyle w:val="A1"/>
          <w:rFonts w:ascii="Times New Roman" w:hAnsi="Times New Roman" w:cs="Times New Roman"/>
        </w:rPr>
        <w:t xml:space="preserve">medüller relaps </w:t>
      </w:r>
      <w:r>
        <w:rPr>
          <w:rStyle w:val="A1"/>
          <w:rFonts w:ascii="Times New Roman" w:hAnsi="Times New Roman" w:cs="Times New Roman"/>
        </w:rPr>
        <w:t xml:space="preserve">durumları ile sınırlıdır (Tablo </w:t>
      </w:r>
      <w:r w:rsidRPr="0019774B">
        <w:rPr>
          <w:rStyle w:val="A1"/>
          <w:rFonts w:ascii="Times New Roman" w:hAnsi="Times New Roman" w:cs="Times New Roman"/>
        </w:rPr>
        <w:t xml:space="preserve">1).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Akut myeloid lösemi</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Prognostik risk sınıflamasına göre iyi risk grubunda olan olgularda çok ilaçlı kemoterapi protokolleri ile iyi sonuçlar alındığı için HKHT önerilmemektedir. HLA uyumlu kardeş donörü olan yüksek risk AML olgu</w:t>
      </w:r>
      <w:r>
        <w:rPr>
          <w:rStyle w:val="A1"/>
          <w:rFonts w:ascii="Times New Roman" w:hAnsi="Times New Roman" w:cs="Times New Roman"/>
        </w:rPr>
        <w:t>-</w:t>
      </w:r>
      <w:r w:rsidRPr="0019774B">
        <w:rPr>
          <w:rStyle w:val="A1"/>
          <w:rFonts w:ascii="Times New Roman" w:hAnsi="Times New Roman" w:cs="Times New Roman"/>
        </w:rPr>
        <w:t>l</w:t>
      </w:r>
      <w:r w:rsidRPr="0019774B">
        <w:rPr>
          <w:rStyle w:val="A1"/>
          <w:rFonts w:ascii="Times New Roman" w:hAnsi="Times New Roman" w:cs="Times New Roman"/>
        </w:rPr>
        <w:t>a</w:t>
      </w:r>
      <w:r w:rsidRPr="0019774B">
        <w:rPr>
          <w:rStyle w:val="A1"/>
          <w:rFonts w:ascii="Times New Roman" w:hAnsi="Times New Roman" w:cs="Times New Roman"/>
        </w:rPr>
        <w:t>rında kesinlikle allojenik HKHT endikasyonu vardır. Uygun kardeş donörü olmayan yüksek risk AML olgularında otolog HKHT’nun yararlı olabilec</w:t>
      </w:r>
      <w:r>
        <w:rPr>
          <w:rStyle w:val="A1"/>
          <w:rFonts w:ascii="Times New Roman" w:hAnsi="Times New Roman" w:cs="Times New Roman"/>
        </w:rPr>
        <w:t>eği de bildirilmektedirr. EBMT’</w:t>
      </w:r>
      <w:r w:rsidRPr="0019774B">
        <w:rPr>
          <w:rStyle w:val="A1"/>
          <w:rFonts w:ascii="Times New Roman" w:hAnsi="Times New Roman" w:cs="Times New Roman"/>
        </w:rPr>
        <w:t>nin 387 olguluk çalışması</w:t>
      </w:r>
      <w:r w:rsidRPr="0019774B">
        <w:rPr>
          <w:rStyle w:val="A1"/>
          <w:rFonts w:ascii="Times New Roman" w:hAnsi="Times New Roman" w:cs="Times New Roman"/>
        </w:rPr>
        <w:t>n</w:t>
      </w:r>
      <w:r w:rsidRPr="0019774B">
        <w:rPr>
          <w:rStyle w:val="A1"/>
          <w:rFonts w:ascii="Times New Roman" w:hAnsi="Times New Roman" w:cs="Times New Roman"/>
        </w:rPr>
        <w:t xml:space="preserve">da EFS % 60 olarak bildirilmiştir. Infant AML, M0, M6 ve M7 alt tiplerde ise akraba dışı HKHT endikasyonu vardır. Ayrıca relaps AML olgularında kardeş veya akraba dışı donörden HKHT endikasyonu vardır.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 xml:space="preserve">Kronik Myeloid Lösemi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rPr>
        <w:t>Çocukluk çağında KML lösemiler arasında %1-2 oranında görülür. HKHT küratif tek tedavi olarak k</w:t>
      </w:r>
      <w:r w:rsidRPr="0019774B">
        <w:rPr>
          <w:rStyle w:val="A1"/>
          <w:rFonts w:ascii="Times New Roman" w:hAnsi="Times New Roman" w:cs="Times New Roman"/>
        </w:rPr>
        <w:t>a</w:t>
      </w:r>
      <w:r w:rsidRPr="0019774B">
        <w:rPr>
          <w:rStyle w:val="A1"/>
          <w:rFonts w:ascii="Times New Roman" w:hAnsi="Times New Roman" w:cs="Times New Roman"/>
        </w:rPr>
        <w:t>bul edildiği için bu olgularda erken dönemde akraba veya akraba dışı donörden nakil önerilmektedir. A</w:t>
      </w:r>
      <w:r w:rsidRPr="0019774B">
        <w:rPr>
          <w:rStyle w:val="A1"/>
          <w:rFonts w:ascii="Times New Roman" w:hAnsi="Times New Roman" w:cs="Times New Roman"/>
        </w:rPr>
        <w:t>n</w:t>
      </w:r>
      <w:r w:rsidRPr="0019774B">
        <w:rPr>
          <w:rStyle w:val="A1"/>
          <w:rFonts w:ascii="Times New Roman" w:hAnsi="Times New Roman" w:cs="Times New Roman"/>
        </w:rPr>
        <w:t>cak tirozin kinaz inhibitörleri (TKI) ile alınan başarılı sonuçlar nedeniyle HKHT endikasyonu ve zamanl</w:t>
      </w:r>
      <w:r w:rsidRPr="0019774B">
        <w:rPr>
          <w:rStyle w:val="A1"/>
          <w:rFonts w:ascii="Times New Roman" w:hAnsi="Times New Roman" w:cs="Times New Roman"/>
        </w:rPr>
        <w:t>a</w:t>
      </w:r>
      <w:r w:rsidRPr="0019774B">
        <w:rPr>
          <w:rStyle w:val="A1"/>
          <w:rFonts w:ascii="Times New Roman" w:hAnsi="Times New Roman" w:cs="Times New Roman"/>
        </w:rPr>
        <w:t>ması konusunda tartışmalar olmaktadır. EBMT tar</w:t>
      </w:r>
      <w:r w:rsidRPr="0019774B">
        <w:rPr>
          <w:rStyle w:val="A1"/>
          <w:rFonts w:ascii="Times New Roman" w:hAnsi="Times New Roman" w:cs="Times New Roman"/>
        </w:rPr>
        <w:t>a</w:t>
      </w:r>
      <w:r w:rsidRPr="0019774B">
        <w:rPr>
          <w:rStyle w:val="A1"/>
          <w:rFonts w:ascii="Times New Roman" w:hAnsi="Times New Roman" w:cs="Times New Roman"/>
        </w:rPr>
        <w:t>fından yayınlanan bir çalışmada TKI baş</w:t>
      </w:r>
      <w:r>
        <w:rPr>
          <w:rStyle w:val="A1"/>
          <w:rFonts w:ascii="Times New Roman" w:hAnsi="Times New Roman" w:cs="Times New Roman"/>
        </w:rPr>
        <w:t>-</w:t>
      </w:r>
      <w:r w:rsidRPr="0019774B">
        <w:rPr>
          <w:rStyle w:val="A1"/>
          <w:rFonts w:ascii="Times New Roman" w:hAnsi="Times New Roman" w:cs="Times New Roman"/>
        </w:rPr>
        <w:t xml:space="preserve">landıktan sonraki 3 ayda hematolojik, 6. ayda minor sitogenetik ve 12. ayda tam sitogenetik cevap alınan olgularda </w:t>
      </w:r>
      <w:r w:rsidRPr="0019774B">
        <w:rPr>
          <w:rStyle w:val="A1"/>
          <w:rFonts w:ascii="Times New Roman" w:hAnsi="Times New Roman" w:cs="Times New Roman"/>
        </w:rPr>
        <w:lastRenderedPageBreak/>
        <w:t>HKHT nin ertelenebileceği bildiri</w:t>
      </w:r>
      <w:r w:rsidRPr="0019774B">
        <w:rPr>
          <w:rStyle w:val="A1"/>
          <w:rFonts w:ascii="Times New Roman" w:hAnsi="Times New Roman" w:cs="Times New Roman"/>
        </w:rPr>
        <w:t>l</w:t>
      </w:r>
      <w:r w:rsidRPr="0019774B">
        <w:rPr>
          <w:rStyle w:val="A1"/>
          <w:rFonts w:ascii="Times New Roman" w:hAnsi="Times New Roman" w:cs="Times New Roman"/>
        </w:rPr>
        <w:t>mektedir. KML’de TKİ’ne karşı direnç de gelişebilmektedir. Tam uygun aile içi verici veya 10/10 u</w:t>
      </w:r>
      <w:r w:rsidRPr="0019774B">
        <w:rPr>
          <w:rStyle w:val="A1"/>
          <w:rFonts w:ascii="Times New Roman" w:hAnsi="Times New Roman" w:cs="Times New Roman"/>
        </w:rPr>
        <w:t>y</w:t>
      </w:r>
      <w:r w:rsidRPr="0019774B">
        <w:rPr>
          <w:rStyle w:val="A1"/>
          <w:rFonts w:ascii="Times New Roman" w:hAnsi="Times New Roman" w:cs="Times New Roman"/>
        </w:rPr>
        <w:t>gun akraba dışı verici olması halinde transplanta</w:t>
      </w:r>
      <w:r w:rsidRPr="0019774B">
        <w:rPr>
          <w:rStyle w:val="A1"/>
          <w:rFonts w:ascii="Times New Roman" w:hAnsi="Times New Roman" w:cs="Times New Roman"/>
        </w:rPr>
        <w:t>s</w:t>
      </w:r>
      <w:r w:rsidRPr="0019774B">
        <w:rPr>
          <w:rStyle w:val="A1"/>
          <w:rFonts w:ascii="Times New Roman" w:hAnsi="Times New Roman" w:cs="Times New Roman"/>
        </w:rPr>
        <w:t>yon düşünül</w:t>
      </w:r>
      <w:r>
        <w:rPr>
          <w:rStyle w:val="A1"/>
          <w:rFonts w:ascii="Times New Roman" w:hAnsi="Times New Roman" w:cs="Times New Roman"/>
        </w:rPr>
        <w:t>-</w:t>
      </w:r>
      <w:r w:rsidRPr="0019774B">
        <w:rPr>
          <w:rStyle w:val="A1"/>
          <w:rFonts w:ascii="Times New Roman" w:hAnsi="Times New Roman" w:cs="Times New Roman"/>
        </w:rPr>
        <w:t xml:space="preserve">melidir.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Lenfoma</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Kemoterapi ve radyoterapiye dirençli veya tekrarlayan lenfoma olgularında otolog HKHT ile uzun süreli hastalıksız yaşam sağlanabilmektedir. Ancak allojenik HKHT nin rolü henüz belli değildir. Dirençli veya tekrarlayan non-Hodgkin lenfomalı olgularda otolog ve allojenik HKHT ile 5 yıllık olaysız yaşam sonuç</w:t>
      </w:r>
      <w:r>
        <w:rPr>
          <w:rStyle w:val="A1"/>
          <w:rFonts w:ascii="Times New Roman" w:hAnsi="Times New Roman" w:cs="Times New Roman"/>
        </w:rPr>
        <w:t>-</w:t>
      </w:r>
      <w:r w:rsidRPr="0019774B">
        <w:rPr>
          <w:rStyle w:val="A1"/>
          <w:rFonts w:ascii="Times New Roman" w:hAnsi="Times New Roman" w:cs="Times New Roman"/>
        </w:rPr>
        <w:t>l</w:t>
      </w:r>
      <w:r w:rsidRPr="0019774B">
        <w:rPr>
          <w:rStyle w:val="A1"/>
          <w:rFonts w:ascii="Times New Roman" w:hAnsi="Times New Roman" w:cs="Times New Roman"/>
        </w:rPr>
        <w:t>a</w:t>
      </w:r>
      <w:r w:rsidRPr="0019774B">
        <w:rPr>
          <w:rStyle w:val="A1"/>
          <w:rFonts w:ascii="Times New Roman" w:hAnsi="Times New Roman" w:cs="Times New Roman"/>
        </w:rPr>
        <w:t>rının benzer olduğu, ancak lenfoblastik lenfomalı çocuklarda allojenik HKHT ile daha iyi sonuç alındığı bildirilmektedir. Hodgkin Hastalığı’nda, 12 aydan daha kısa sürede relaps olan veya ilk tedaviye refrak</w:t>
      </w:r>
      <w:r>
        <w:rPr>
          <w:rStyle w:val="A1"/>
          <w:rFonts w:ascii="Times New Roman" w:hAnsi="Times New Roman" w:cs="Times New Roman"/>
        </w:rPr>
        <w:t>-</w:t>
      </w:r>
      <w:r w:rsidRPr="0019774B">
        <w:rPr>
          <w:rStyle w:val="A1"/>
          <w:rFonts w:ascii="Times New Roman" w:hAnsi="Times New Roman" w:cs="Times New Roman"/>
        </w:rPr>
        <w:t>ter seyreden vakalarda önce otolog nakil d</w:t>
      </w:r>
      <w:r w:rsidRPr="0019774B">
        <w:rPr>
          <w:rStyle w:val="A1"/>
          <w:rFonts w:ascii="Times New Roman" w:hAnsi="Times New Roman" w:cs="Times New Roman"/>
        </w:rPr>
        <w:t>e</w:t>
      </w:r>
      <w:r w:rsidRPr="0019774B">
        <w:rPr>
          <w:rStyle w:val="A1"/>
          <w:rFonts w:ascii="Times New Roman" w:hAnsi="Times New Roman" w:cs="Times New Roman"/>
        </w:rPr>
        <w:t>nenmeli, tekrar relaps halinde allojenik transplant düşünül</w:t>
      </w:r>
      <w:r>
        <w:rPr>
          <w:rStyle w:val="A1"/>
          <w:rFonts w:ascii="Times New Roman" w:hAnsi="Times New Roman" w:cs="Times New Roman"/>
        </w:rPr>
        <w:t>-</w:t>
      </w:r>
      <w:r w:rsidRPr="0019774B">
        <w:rPr>
          <w:rStyle w:val="A1"/>
          <w:rFonts w:ascii="Times New Roman" w:hAnsi="Times New Roman" w:cs="Times New Roman"/>
        </w:rPr>
        <w:t xml:space="preserve">melidir. </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b/>
          <w:bCs/>
        </w:rPr>
        <w:t>Myelodisplastik Sendromlar</w:t>
      </w:r>
    </w:p>
    <w:p w:rsidR="00D46298" w:rsidRDefault="00D46298" w:rsidP="00D46298">
      <w:pPr>
        <w:spacing w:after="120" w:line="252" w:lineRule="auto"/>
        <w:jc w:val="both"/>
      </w:pPr>
      <w:r w:rsidRPr="0019774B">
        <w:rPr>
          <w:rStyle w:val="A1"/>
        </w:rPr>
        <w:t>MDS veya sekonder AML’li çocuk olgularda akraba veya akraba dışı HKHT’nin seçenek tedavi olduğu birçok merke</w:t>
      </w:r>
      <w:r w:rsidRPr="0019774B">
        <w:rPr>
          <w:rStyle w:val="A1"/>
        </w:rPr>
        <w:t>z</w:t>
      </w:r>
      <w:r w:rsidRPr="0019774B">
        <w:rPr>
          <w:rStyle w:val="A1"/>
        </w:rPr>
        <w:t>ce kabul edilmektedir. Jüvenil myelo</w:t>
      </w:r>
      <w:r>
        <w:rPr>
          <w:rStyle w:val="A1"/>
        </w:rPr>
        <w:t>-</w:t>
      </w:r>
      <w:r w:rsidRPr="0019774B">
        <w:rPr>
          <w:rStyle w:val="A1"/>
        </w:rPr>
        <w:t>monositik lösemi (JMML) erken çocukluk döneminde rastlanan, seyrek ancak ölümcül seyreden myelodis</w:t>
      </w:r>
      <w:r>
        <w:rPr>
          <w:rStyle w:val="A1"/>
        </w:rPr>
        <w:t>-</w:t>
      </w:r>
      <w:r w:rsidRPr="0019774B">
        <w:rPr>
          <w:rStyle w:val="A1"/>
        </w:rPr>
        <w:t>plastik / myeloproliferatif bir hastalıktır. HKHT y</w:t>
      </w:r>
      <w:r w:rsidRPr="0019774B">
        <w:rPr>
          <w:rStyle w:val="A1"/>
        </w:rPr>
        <w:t>a</w:t>
      </w:r>
      <w:r w:rsidRPr="0019774B">
        <w:rPr>
          <w:rStyle w:val="A1"/>
        </w:rPr>
        <w:t>pıl</w:t>
      </w:r>
      <w:r>
        <w:rPr>
          <w:rStyle w:val="A1"/>
        </w:rPr>
        <w:t>-</w:t>
      </w:r>
      <w:r w:rsidRPr="0019774B">
        <w:rPr>
          <w:rStyle w:val="A1"/>
        </w:rPr>
        <w:t>mayan olgularda yaşam ihtimali % 10’un altındadır. Fakat HKHT yapılan olgularda relapsın sık ve mortalitenin yüksek olması da çok önemli soru</w:t>
      </w:r>
      <w:r w:rsidRPr="0019774B">
        <w:rPr>
          <w:rStyle w:val="A1"/>
        </w:rPr>
        <w:t>n</w:t>
      </w:r>
      <w:r w:rsidRPr="0019774B">
        <w:rPr>
          <w:rStyle w:val="A1"/>
        </w:rPr>
        <w:t>dur.</w:t>
      </w:r>
    </w:p>
    <w:p w:rsidR="00D46298" w:rsidRDefault="00D46298" w:rsidP="00D46298">
      <w:pPr>
        <w:spacing w:after="120" w:line="252" w:lineRule="auto"/>
        <w:jc w:val="both"/>
        <w:sectPr w:rsidR="00D46298" w:rsidSect="00434A7C">
          <w:type w:val="continuous"/>
          <w:pgSz w:w="11340" w:h="15876" w:code="9"/>
          <w:pgMar w:top="1134" w:right="1134" w:bottom="1418" w:left="1134" w:header="567" w:footer="680" w:gutter="0"/>
          <w:cols w:num="2" w:space="284"/>
          <w:docGrid w:linePitch="360"/>
        </w:sectPr>
      </w:pPr>
    </w:p>
    <w:p w:rsidR="00D46298" w:rsidRDefault="00D46298" w:rsidP="00D46298">
      <w:pPr>
        <w:spacing w:after="120" w:line="252" w:lineRule="auto"/>
        <w:jc w:val="both"/>
      </w:pPr>
    </w:p>
    <w:p w:rsidR="00D46298" w:rsidRPr="00C47691" w:rsidRDefault="00D46298" w:rsidP="00D46298">
      <w:pPr>
        <w:spacing w:after="360" w:line="250" w:lineRule="auto"/>
        <w:rPr>
          <w:b/>
          <w:bCs/>
          <w:color w:val="000000"/>
          <w:sz w:val="18"/>
          <w:szCs w:val="18"/>
        </w:rPr>
      </w:pPr>
      <w:r>
        <w:rPr>
          <w:b/>
          <w:bCs/>
          <w:noProof/>
          <w:color w:val="000000"/>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277495</wp:posOffset>
                </wp:positionV>
                <wp:extent cx="5747385" cy="0"/>
                <wp:effectExtent l="10795" t="8890" r="13970"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73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2F92"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85pt" to="452.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" strokeweight=".5pt"/>
            </w:pict>
          </mc:Fallback>
        </mc:AlternateContent>
      </w:r>
      <w:r w:rsidRPr="00C47691">
        <w:rPr>
          <w:b/>
          <w:bCs/>
          <w:color w:val="000000"/>
          <w:sz w:val="18"/>
          <w:szCs w:val="18"/>
        </w:rPr>
        <w:t xml:space="preserve">Tablo 1. </w:t>
      </w:r>
      <w:r w:rsidRPr="00C522C6">
        <w:rPr>
          <w:bCs/>
          <w:color w:val="000000"/>
          <w:sz w:val="18"/>
          <w:szCs w:val="18"/>
        </w:rPr>
        <w:t>Kemik İliği ve Kök Hücre Nakli Uygulanan Hastalıklar</w:t>
      </w:r>
    </w:p>
    <w:p w:rsidR="00D46298" w:rsidRPr="00C47691" w:rsidRDefault="00D46298" w:rsidP="00D46298">
      <w:pPr>
        <w:numPr>
          <w:ilvl w:val="0"/>
          <w:numId w:val="1"/>
        </w:numPr>
        <w:overflowPunct w:val="0"/>
        <w:autoSpaceDE w:val="0"/>
        <w:autoSpaceDN w:val="0"/>
        <w:adjustRightInd w:val="0"/>
        <w:spacing w:after="120" w:line="250" w:lineRule="auto"/>
        <w:ind w:left="0" w:firstLine="0"/>
        <w:jc w:val="both"/>
        <w:textAlignment w:val="baseline"/>
        <w:rPr>
          <w:b/>
          <w:bCs/>
          <w:color w:val="000000"/>
          <w:sz w:val="18"/>
          <w:szCs w:val="18"/>
        </w:rPr>
      </w:pPr>
      <w:r w:rsidRPr="00C47691">
        <w:rPr>
          <w:b/>
          <w:bCs/>
          <w:color w:val="000000"/>
          <w:sz w:val="18"/>
          <w:szCs w:val="18"/>
        </w:rPr>
        <w:t>Malign Hastalıklar</w:t>
      </w:r>
    </w:p>
    <w:p w:rsidR="00D46298" w:rsidRPr="00C47691" w:rsidRDefault="00D46298" w:rsidP="00D46298">
      <w:pPr>
        <w:spacing w:after="120" w:line="250" w:lineRule="auto"/>
        <w:ind w:left="308"/>
        <w:jc w:val="both"/>
        <w:rPr>
          <w:color w:val="000000"/>
          <w:sz w:val="18"/>
          <w:szCs w:val="18"/>
        </w:rPr>
      </w:pPr>
      <w:r w:rsidRPr="00C47691">
        <w:rPr>
          <w:color w:val="000000"/>
          <w:sz w:val="18"/>
          <w:szCs w:val="18"/>
        </w:rPr>
        <w:t>Akut Lenfoblastik Lösemi (ALL), Akut Myeloblastik Lösemi (AML), Kronik Myelositer Lösemi (KML), Multipl Myeloma (MM), Myelodisplastik Sendrom (MDS), Non-Hodgkin Lenfoma (NHL), Hodgkin Hastalığı (HD), Nöroblastoma (NB), Meme Kanseri (BC), Germ Hücreli Kanser (GCC)</w:t>
      </w:r>
    </w:p>
    <w:p w:rsidR="00D46298" w:rsidRPr="00C47691" w:rsidRDefault="00D46298" w:rsidP="00D46298">
      <w:pPr>
        <w:numPr>
          <w:ilvl w:val="0"/>
          <w:numId w:val="2"/>
        </w:numPr>
        <w:overflowPunct w:val="0"/>
        <w:autoSpaceDE w:val="0"/>
        <w:autoSpaceDN w:val="0"/>
        <w:adjustRightInd w:val="0"/>
        <w:spacing w:after="120" w:line="250" w:lineRule="auto"/>
        <w:ind w:left="0" w:firstLine="0"/>
        <w:jc w:val="both"/>
        <w:textAlignment w:val="baseline"/>
        <w:rPr>
          <w:b/>
          <w:bCs/>
          <w:color w:val="000000"/>
          <w:sz w:val="18"/>
          <w:szCs w:val="18"/>
        </w:rPr>
      </w:pPr>
      <w:r w:rsidRPr="00C47691">
        <w:rPr>
          <w:b/>
          <w:bCs/>
          <w:color w:val="000000"/>
          <w:sz w:val="18"/>
          <w:szCs w:val="18"/>
        </w:rPr>
        <w:t>Malign Olmayan Hastalıklar</w:t>
      </w:r>
    </w:p>
    <w:p w:rsidR="00D46298" w:rsidRPr="00C47691" w:rsidRDefault="00D46298" w:rsidP="00D46298">
      <w:pPr>
        <w:spacing w:after="60" w:line="250" w:lineRule="auto"/>
        <w:jc w:val="both"/>
        <w:rPr>
          <w:b/>
          <w:bCs/>
          <w:color w:val="000000"/>
          <w:sz w:val="18"/>
          <w:szCs w:val="18"/>
        </w:rPr>
      </w:pPr>
      <w:r>
        <w:rPr>
          <w:b/>
          <w:bCs/>
          <w:color w:val="000000"/>
          <w:sz w:val="18"/>
          <w:szCs w:val="18"/>
        </w:rPr>
        <w:t xml:space="preserve">     </w:t>
      </w:r>
      <w:r w:rsidRPr="00C47691">
        <w:rPr>
          <w:b/>
          <w:bCs/>
          <w:color w:val="000000"/>
          <w:sz w:val="18"/>
          <w:szCs w:val="18"/>
        </w:rPr>
        <w:t xml:space="preserve">1. </w:t>
      </w:r>
      <w:r w:rsidRPr="00C47691">
        <w:rPr>
          <w:color w:val="000000"/>
          <w:sz w:val="18"/>
          <w:szCs w:val="18"/>
        </w:rPr>
        <w:t>Doğmalık Hastalıklar</w:t>
      </w:r>
    </w:p>
    <w:p w:rsidR="00D46298" w:rsidRPr="00C47691" w:rsidRDefault="00D46298" w:rsidP="00D46298">
      <w:pPr>
        <w:spacing w:after="60" w:line="250" w:lineRule="auto"/>
        <w:ind w:left="434"/>
        <w:jc w:val="both"/>
        <w:rPr>
          <w:color w:val="000000"/>
          <w:sz w:val="18"/>
          <w:szCs w:val="18"/>
        </w:rPr>
      </w:pPr>
      <w:r w:rsidRPr="00C47691">
        <w:rPr>
          <w:color w:val="000000"/>
          <w:sz w:val="18"/>
          <w:szCs w:val="18"/>
        </w:rPr>
        <w:t>Kan Hastalıkları; Talasemi Major (TM), Orak Hücreli Anemi (SS), Fanconi Aplastik Anemi (FAA)</w:t>
      </w:r>
    </w:p>
    <w:p w:rsidR="00D46298" w:rsidRPr="00C47691" w:rsidRDefault="00D46298" w:rsidP="00D46298">
      <w:pPr>
        <w:spacing w:after="60" w:line="250" w:lineRule="auto"/>
        <w:ind w:left="434"/>
        <w:jc w:val="both"/>
        <w:rPr>
          <w:color w:val="000000"/>
          <w:sz w:val="18"/>
          <w:szCs w:val="18"/>
        </w:rPr>
      </w:pPr>
      <w:r w:rsidRPr="00C47691">
        <w:rPr>
          <w:color w:val="000000"/>
          <w:sz w:val="18"/>
          <w:szCs w:val="18"/>
        </w:rPr>
        <w:t>Kemik Hastalıkları; Osteopetrozis (OP)</w:t>
      </w:r>
    </w:p>
    <w:p w:rsidR="00D46298" w:rsidRPr="00C47691" w:rsidRDefault="00D46298" w:rsidP="00D46298">
      <w:pPr>
        <w:spacing w:after="60" w:line="250" w:lineRule="auto"/>
        <w:ind w:left="434"/>
        <w:jc w:val="both"/>
        <w:rPr>
          <w:color w:val="000000"/>
          <w:sz w:val="18"/>
          <w:szCs w:val="18"/>
        </w:rPr>
      </w:pPr>
      <w:r w:rsidRPr="00C47691">
        <w:rPr>
          <w:color w:val="000000"/>
          <w:sz w:val="18"/>
          <w:szCs w:val="18"/>
        </w:rPr>
        <w:t>Depo Hastalıkları; Marotaux-Lamy, Hurler Sendromu, Hunter Sendromu, San Filippo Sendromu, Morquio Hastalığı, Gaucher Hastalığı, Glikojen Depo Hastalığı, Metakromatik Lökodistrofi</w:t>
      </w:r>
    </w:p>
    <w:p w:rsidR="00D46298" w:rsidRPr="00C47691" w:rsidRDefault="00D46298" w:rsidP="00D46298">
      <w:pPr>
        <w:spacing w:after="60" w:line="250" w:lineRule="auto"/>
        <w:ind w:left="434"/>
        <w:jc w:val="both"/>
        <w:rPr>
          <w:color w:val="000000"/>
          <w:sz w:val="18"/>
          <w:szCs w:val="18"/>
        </w:rPr>
      </w:pPr>
      <w:r w:rsidRPr="00C47691">
        <w:rPr>
          <w:color w:val="000000"/>
          <w:sz w:val="18"/>
          <w:szCs w:val="18"/>
        </w:rPr>
        <w:t>Immun Yetmezlikler; Ağır Kombine İmmun Yetmezlik (SCID), Wiskot-Aldrich Sendromu (WAS)</w:t>
      </w:r>
    </w:p>
    <w:p w:rsidR="00D46298" w:rsidRPr="00C47691" w:rsidRDefault="00D46298" w:rsidP="00D46298">
      <w:pPr>
        <w:spacing w:after="120" w:line="250" w:lineRule="auto"/>
        <w:ind w:left="434"/>
        <w:jc w:val="both"/>
        <w:rPr>
          <w:color w:val="000000"/>
          <w:sz w:val="18"/>
          <w:szCs w:val="18"/>
        </w:rPr>
      </w:pPr>
      <w:r w:rsidRPr="00C47691">
        <w:rPr>
          <w:color w:val="000000"/>
          <w:sz w:val="18"/>
          <w:szCs w:val="18"/>
        </w:rPr>
        <w:t>Diğer; Konjenital Nötropeni, Kronik Granülomatöz Hastalık (KGH), CD 11/18 Yetmezliği, Chediak Higashi Sendr</w:t>
      </w:r>
      <w:r w:rsidRPr="00C47691">
        <w:rPr>
          <w:color w:val="000000"/>
          <w:sz w:val="18"/>
          <w:szCs w:val="18"/>
        </w:rPr>
        <w:t>o</w:t>
      </w:r>
      <w:r w:rsidRPr="00C47691">
        <w:rPr>
          <w:color w:val="000000"/>
          <w:sz w:val="18"/>
          <w:szCs w:val="18"/>
        </w:rPr>
        <w:t>mu</w:t>
      </w:r>
    </w:p>
    <w:p w:rsidR="00D46298" w:rsidRPr="00C47691" w:rsidRDefault="00D46298" w:rsidP="00D46298">
      <w:pPr>
        <w:numPr>
          <w:ilvl w:val="0"/>
          <w:numId w:val="3"/>
        </w:numPr>
        <w:overflowPunct w:val="0"/>
        <w:autoSpaceDE w:val="0"/>
        <w:autoSpaceDN w:val="0"/>
        <w:adjustRightInd w:val="0"/>
        <w:spacing w:after="120" w:line="250" w:lineRule="auto"/>
        <w:ind w:left="210" w:firstLine="0"/>
        <w:jc w:val="both"/>
        <w:textAlignment w:val="baseline"/>
        <w:rPr>
          <w:color w:val="000000"/>
          <w:sz w:val="18"/>
          <w:szCs w:val="18"/>
        </w:rPr>
      </w:pPr>
      <w:r w:rsidRPr="00C47691">
        <w:rPr>
          <w:color w:val="000000"/>
          <w:sz w:val="18"/>
          <w:szCs w:val="18"/>
        </w:rPr>
        <w:t xml:space="preserve">Akkiz Hastalıklar </w:t>
      </w:r>
    </w:p>
    <w:p w:rsidR="00D46298" w:rsidRPr="00C47691" w:rsidRDefault="00D46298" w:rsidP="00D46298">
      <w:pPr>
        <w:spacing w:after="120" w:line="250" w:lineRule="auto"/>
        <w:ind w:left="434"/>
        <w:jc w:val="both"/>
        <w:rPr>
          <w:color w:val="000000"/>
          <w:sz w:val="18"/>
          <w:szCs w:val="18"/>
        </w:rPr>
      </w:pPr>
      <w:r w:rsidRPr="00C47691">
        <w:rPr>
          <w:color w:val="000000"/>
          <w:sz w:val="18"/>
          <w:szCs w:val="18"/>
        </w:rPr>
        <w:t>Kan Hastalıklar; Aplastik Anemi</w:t>
      </w:r>
    </w:p>
    <w:p w:rsidR="00D46298" w:rsidRPr="00C47691" w:rsidRDefault="00D46298" w:rsidP="00D46298">
      <w:pPr>
        <w:spacing w:after="120" w:line="250" w:lineRule="auto"/>
        <w:ind w:left="434"/>
        <w:jc w:val="both"/>
        <w:rPr>
          <w:color w:val="000000"/>
          <w:sz w:val="18"/>
          <w:szCs w:val="18"/>
        </w:rPr>
      </w:pPr>
      <w:r w:rsidRPr="00C47691">
        <w:rPr>
          <w:color w:val="000000"/>
          <w:sz w:val="18"/>
          <w:szCs w:val="18"/>
        </w:rPr>
        <w:t>İnfeksiyon Hastalıkları; AIDS</w:t>
      </w:r>
    </w:p>
    <w:p w:rsidR="00D46298" w:rsidRDefault="00D46298" w:rsidP="00D46298">
      <w:pPr>
        <w:spacing w:after="120" w:line="252" w:lineRule="auto"/>
        <w:jc w:val="both"/>
      </w:pPr>
      <w:r>
        <w:rPr>
          <w:b/>
          <w:bCs/>
          <w:noProof/>
          <w:color w:val="000000"/>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102870</wp:posOffset>
                </wp:positionV>
                <wp:extent cx="5747385" cy="0"/>
                <wp:effectExtent l="10795" t="10795" r="13970" b="825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73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669B"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1pt" to="452.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" strokeweight=".5pt"/>
            </w:pict>
          </mc:Fallback>
        </mc:AlternateContent>
      </w:r>
    </w:p>
    <w:p w:rsidR="00D46298" w:rsidRPr="00933C92" w:rsidRDefault="00D46298" w:rsidP="00D46298">
      <w:pPr>
        <w:jc w:val="both"/>
        <w:rPr>
          <w:sz w:val="2"/>
          <w:szCs w:val="2"/>
        </w:rPr>
      </w:pPr>
    </w:p>
    <w:p w:rsidR="00D46298" w:rsidRDefault="00D46298" w:rsidP="00D46298">
      <w:pPr>
        <w:jc w:val="both"/>
        <w:rPr>
          <w:sz w:val="2"/>
          <w:szCs w:val="2"/>
        </w:rPr>
      </w:pPr>
    </w:p>
    <w:p w:rsidR="00D46298" w:rsidRPr="00933C92" w:rsidRDefault="00D46298" w:rsidP="00D46298">
      <w:pPr>
        <w:jc w:val="both"/>
        <w:rPr>
          <w:sz w:val="2"/>
          <w:szCs w:val="2"/>
        </w:rPr>
      </w:pPr>
    </w:p>
    <w:p w:rsidR="00D46298" w:rsidRPr="00933C92" w:rsidRDefault="00D46298" w:rsidP="00D46298">
      <w:pPr>
        <w:jc w:val="both"/>
        <w:rPr>
          <w:sz w:val="2"/>
          <w:szCs w:val="2"/>
        </w:rPr>
      </w:pPr>
    </w:p>
    <w:p w:rsidR="00D46298" w:rsidRPr="00933C92" w:rsidRDefault="00D46298" w:rsidP="00D46298">
      <w:pPr>
        <w:jc w:val="both"/>
        <w:rPr>
          <w:sz w:val="2"/>
          <w:szCs w:val="2"/>
        </w:rPr>
      </w:pPr>
    </w:p>
    <w:p w:rsidR="00D46298" w:rsidRPr="00933C92" w:rsidRDefault="00D46298" w:rsidP="00D46298">
      <w:pPr>
        <w:jc w:val="both"/>
        <w:rPr>
          <w:sz w:val="2"/>
          <w:szCs w:val="2"/>
        </w:rPr>
      </w:pPr>
    </w:p>
    <w:p w:rsidR="00D46298" w:rsidRPr="00933C92" w:rsidRDefault="00D46298" w:rsidP="00D46298">
      <w:pPr>
        <w:jc w:val="both"/>
        <w:rPr>
          <w:sz w:val="2"/>
          <w:szCs w:val="2"/>
        </w:rPr>
      </w:pPr>
    </w:p>
    <w:p w:rsidR="00D46298" w:rsidRDefault="00D46298" w:rsidP="00D46298">
      <w:pPr>
        <w:spacing w:after="120" w:line="252" w:lineRule="auto"/>
        <w:jc w:val="both"/>
        <w:sectPr w:rsidR="00D46298" w:rsidSect="004B4492">
          <w:type w:val="continuous"/>
          <w:pgSz w:w="11340" w:h="15876" w:code="9"/>
          <w:pgMar w:top="1134" w:right="1134" w:bottom="1418" w:left="1134" w:header="567" w:footer="680" w:gutter="0"/>
          <w:cols w:space="284"/>
          <w:docGrid w:linePitch="360"/>
        </w:sectPr>
      </w:pP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b/>
          <w:bCs/>
        </w:rPr>
        <w:lastRenderedPageBreak/>
        <w:t>Hemofagositik Lenfohistiositoz (HLH)</w:t>
      </w:r>
    </w:p>
    <w:p w:rsidR="00D46298" w:rsidRPr="0019774B" w:rsidRDefault="00D46298" w:rsidP="00D46298">
      <w:pPr>
        <w:pStyle w:val="Pa1"/>
        <w:spacing w:after="200" w:line="250" w:lineRule="auto"/>
        <w:jc w:val="both"/>
        <w:rPr>
          <w:rStyle w:val="A1"/>
          <w:rFonts w:ascii="Times New Roman" w:hAnsi="Times New Roman" w:cs="Times New Roman"/>
        </w:rPr>
      </w:pPr>
      <w:r w:rsidRPr="0019774B">
        <w:rPr>
          <w:rStyle w:val="A1"/>
          <w:rFonts w:ascii="Times New Roman" w:hAnsi="Times New Roman" w:cs="Times New Roman"/>
        </w:rPr>
        <w:t>Ailesel HLH’de allojenik HKHT temel küratif tedav</w:t>
      </w:r>
      <w:r w:rsidRPr="0019774B">
        <w:rPr>
          <w:rStyle w:val="A1"/>
          <w:rFonts w:ascii="Times New Roman" w:hAnsi="Times New Roman" w:cs="Times New Roman"/>
        </w:rPr>
        <w:t>i</w:t>
      </w:r>
      <w:r w:rsidRPr="0019774B">
        <w:rPr>
          <w:rStyle w:val="A1"/>
          <w:rFonts w:ascii="Times New Roman" w:hAnsi="Times New Roman" w:cs="Times New Roman"/>
        </w:rPr>
        <w:t>dir. X-e bağlı lenfoproliferatif hastalık, Griscelli ve Chediak-Higashi olguları da be</w:t>
      </w:r>
      <w:r w:rsidRPr="0019774B">
        <w:rPr>
          <w:rStyle w:val="A1"/>
          <w:rFonts w:ascii="Times New Roman" w:hAnsi="Times New Roman" w:cs="Times New Roman"/>
        </w:rPr>
        <w:t>n</w:t>
      </w:r>
      <w:r w:rsidRPr="0019774B">
        <w:rPr>
          <w:rStyle w:val="A1"/>
          <w:rFonts w:ascii="Times New Roman" w:hAnsi="Times New Roman" w:cs="Times New Roman"/>
        </w:rPr>
        <w:t xml:space="preserve">zer klinik tablo ile gelebilir ve HKHT’na cevap verebilir. HKHT ile alınan başarılı sonuçlar nedeniyle bu grup hastalarda haploidentik nakiller de denenebilir.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Primer immün yetmezlikler</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Ağır kombine immune yetmezlikler (SCID), çeşitli T hücre bozuklukları, Wiskott-Aldrich sendromu, lök</w:t>
      </w:r>
      <w:r w:rsidRPr="0019774B">
        <w:rPr>
          <w:rStyle w:val="A1"/>
          <w:rFonts w:ascii="Times New Roman" w:hAnsi="Times New Roman" w:cs="Times New Roman"/>
        </w:rPr>
        <w:t>o</w:t>
      </w:r>
      <w:r>
        <w:rPr>
          <w:rStyle w:val="A1"/>
          <w:rFonts w:ascii="Times New Roman" w:hAnsi="Times New Roman" w:cs="Times New Roman"/>
        </w:rPr>
        <w:t>-</w:t>
      </w:r>
      <w:r w:rsidRPr="0019774B">
        <w:rPr>
          <w:rStyle w:val="A1"/>
          <w:rFonts w:ascii="Times New Roman" w:hAnsi="Times New Roman" w:cs="Times New Roman"/>
        </w:rPr>
        <w:t>sit adezyon eksikliği, kronik granülomatöz hastalık, Chediak-Higashi sendromu, Griscelli sendromu, ail</w:t>
      </w:r>
      <w:r w:rsidRPr="0019774B">
        <w:rPr>
          <w:rStyle w:val="A1"/>
          <w:rFonts w:ascii="Times New Roman" w:hAnsi="Times New Roman" w:cs="Times New Roman"/>
        </w:rPr>
        <w:t>e</w:t>
      </w:r>
      <w:r w:rsidRPr="0019774B">
        <w:rPr>
          <w:rStyle w:val="A1"/>
          <w:rFonts w:ascii="Times New Roman" w:hAnsi="Times New Roman" w:cs="Times New Roman"/>
        </w:rPr>
        <w:t>sel lenfohistiositozis ve X-e bağlı lenfoproliferatif hastalıkta allojenik HKHT tek kesin tedavi yöntem</w:t>
      </w:r>
      <w:r w:rsidRPr="0019774B">
        <w:rPr>
          <w:rStyle w:val="A1"/>
          <w:rFonts w:ascii="Times New Roman" w:hAnsi="Times New Roman" w:cs="Times New Roman"/>
        </w:rPr>
        <w:t>i</w:t>
      </w:r>
      <w:r w:rsidRPr="0019774B">
        <w:rPr>
          <w:rStyle w:val="A1"/>
          <w:rFonts w:ascii="Times New Roman" w:hAnsi="Times New Roman" w:cs="Times New Roman"/>
        </w:rPr>
        <w:t>dir. Bu olgularda hem a</w:t>
      </w:r>
      <w:r w:rsidRPr="0019774B">
        <w:rPr>
          <w:rStyle w:val="A1"/>
          <w:rFonts w:ascii="Times New Roman" w:hAnsi="Times New Roman" w:cs="Times New Roman"/>
        </w:rPr>
        <w:t>k</w:t>
      </w:r>
      <w:r w:rsidRPr="0019774B">
        <w:rPr>
          <w:rStyle w:val="A1"/>
          <w:rFonts w:ascii="Times New Roman" w:hAnsi="Times New Roman" w:cs="Times New Roman"/>
        </w:rPr>
        <w:t xml:space="preserve">raba hem de akraba dışı nakil endikasyonu vardır. </w:t>
      </w:r>
    </w:p>
    <w:p w:rsidR="00D46298" w:rsidRPr="0019774B" w:rsidRDefault="00D46298" w:rsidP="00D46298">
      <w:pPr>
        <w:pStyle w:val="Pa1"/>
        <w:spacing w:after="20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SCID, tanı konulur konulmaz HKHT uygulanacak en acil hastalı</w:t>
      </w:r>
      <w:r w:rsidRPr="0019774B">
        <w:rPr>
          <w:rStyle w:val="A1"/>
          <w:rFonts w:ascii="Times New Roman" w:hAnsi="Times New Roman" w:cs="Times New Roman"/>
        </w:rPr>
        <w:t>k</w:t>
      </w:r>
      <w:r w:rsidRPr="0019774B">
        <w:rPr>
          <w:rStyle w:val="A1"/>
          <w:rFonts w:ascii="Times New Roman" w:hAnsi="Times New Roman" w:cs="Times New Roman"/>
        </w:rPr>
        <w:t>lardan biridir. Eğer HLA identik kardeş donör varsa hazırlama rej</w:t>
      </w:r>
      <w:r w:rsidRPr="0019774B">
        <w:rPr>
          <w:rStyle w:val="A1"/>
          <w:rFonts w:ascii="Times New Roman" w:hAnsi="Times New Roman" w:cs="Times New Roman"/>
        </w:rPr>
        <w:t>i</w:t>
      </w:r>
      <w:r w:rsidRPr="0019774B">
        <w:rPr>
          <w:rStyle w:val="A1"/>
          <w:rFonts w:ascii="Times New Roman" w:hAnsi="Times New Roman" w:cs="Times New Roman"/>
        </w:rPr>
        <w:t>mi ve GVHH profilaksisi uygulanmadan nakil işlemi uygulanabilir. HLA ide</w:t>
      </w:r>
      <w:r w:rsidRPr="0019774B">
        <w:rPr>
          <w:rStyle w:val="A1"/>
          <w:rFonts w:ascii="Times New Roman" w:hAnsi="Times New Roman" w:cs="Times New Roman"/>
        </w:rPr>
        <w:t>n</w:t>
      </w:r>
      <w:r>
        <w:rPr>
          <w:rStyle w:val="A1"/>
          <w:rFonts w:ascii="Times New Roman" w:hAnsi="Times New Roman" w:cs="Times New Roman"/>
        </w:rPr>
        <w:t>-</w:t>
      </w:r>
      <w:r w:rsidRPr="0019774B">
        <w:rPr>
          <w:rStyle w:val="A1"/>
          <w:rFonts w:ascii="Times New Roman" w:hAnsi="Times New Roman" w:cs="Times New Roman"/>
        </w:rPr>
        <w:t>tik kardeş yok ise diğer donörlerden nakil endikasyonu vardır. Ancak bu nakillerde hazırlama rejimi öneri</w:t>
      </w:r>
      <w:r w:rsidRPr="0019774B">
        <w:rPr>
          <w:rStyle w:val="A1"/>
          <w:rFonts w:ascii="Times New Roman" w:hAnsi="Times New Roman" w:cs="Times New Roman"/>
        </w:rPr>
        <w:t>l</w:t>
      </w:r>
      <w:r>
        <w:rPr>
          <w:rStyle w:val="A1"/>
          <w:rFonts w:ascii="Times New Roman" w:hAnsi="Times New Roman" w:cs="Times New Roman"/>
        </w:rPr>
        <w:t>-</w:t>
      </w:r>
      <w:r w:rsidRPr="0019774B">
        <w:rPr>
          <w:rStyle w:val="A1"/>
          <w:rFonts w:ascii="Times New Roman" w:hAnsi="Times New Roman" w:cs="Times New Roman"/>
        </w:rPr>
        <w:t>mektedir. Transplantasyon sonrası T hücre fonksi</w:t>
      </w:r>
      <w:r>
        <w:rPr>
          <w:rStyle w:val="A1"/>
          <w:rFonts w:ascii="Times New Roman" w:hAnsi="Times New Roman" w:cs="Times New Roman"/>
        </w:rPr>
        <w:t>-</w:t>
      </w:r>
      <w:r w:rsidRPr="0019774B">
        <w:rPr>
          <w:rStyle w:val="A1"/>
          <w:rFonts w:ascii="Times New Roman" w:hAnsi="Times New Roman" w:cs="Times New Roman"/>
        </w:rPr>
        <w:t>yo</w:t>
      </w:r>
      <w:r w:rsidRPr="0019774B">
        <w:rPr>
          <w:rStyle w:val="A1"/>
          <w:rFonts w:ascii="Times New Roman" w:hAnsi="Times New Roman" w:cs="Times New Roman"/>
        </w:rPr>
        <w:t>n</w:t>
      </w:r>
      <w:r w:rsidRPr="0019774B">
        <w:rPr>
          <w:rStyle w:val="A1"/>
          <w:rFonts w:ascii="Times New Roman" w:hAnsi="Times New Roman" w:cs="Times New Roman"/>
        </w:rPr>
        <w:t>ları hızla düzelir. B hücre fonksiyonları B(+) SCID olgularının hemen hemen tamamında düzelirken B(-) olguların % 40’ında negatiftir. Akciğer enfeksiyon</w:t>
      </w:r>
      <w:r w:rsidRPr="0019774B">
        <w:rPr>
          <w:rStyle w:val="A1"/>
          <w:rFonts w:ascii="Times New Roman" w:hAnsi="Times New Roman" w:cs="Times New Roman"/>
        </w:rPr>
        <w:t>u</w:t>
      </w:r>
      <w:r>
        <w:rPr>
          <w:rStyle w:val="A1"/>
          <w:rFonts w:ascii="Times New Roman" w:hAnsi="Times New Roman" w:cs="Times New Roman"/>
        </w:rPr>
        <w:t>-</w:t>
      </w:r>
      <w:r w:rsidRPr="0019774B">
        <w:rPr>
          <w:rStyle w:val="A1"/>
          <w:rFonts w:ascii="Times New Roman" w:hAnsi="Times New Roman" w:cs="Times New Roman"/>
        </w:rPr>
        <w:t xml:space="preserve">nun varlığı, B(-) tip ve geç tanı kötü prognozda rol oynayan en belirgin faktörlerdir. </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b/>
          <w:bCs/>
        </w:rPr>
        <w:t>Akkiz Ağır Aplastik Anemi (SAA)</w:t>
      </w:r>
    </w:p>
    <w:p w:rsidR="00D46298" w:rsidRPr="0019774B" w:rsidRDefault="00D46298" w:rsidP="00D46298">
      <w:pPr>
        <w:pStyle w:val="Pa1"/>
        <w:spacing w:after="20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HLA uygun kardeş vericisi olan SAA olgularında kesin olarak allojenik HKHT endikasyonu va</w:t>
      </w:r>
      <w:r w:rsidRPr="0019774B">
        <w:rPr>
          <w:rStyle w:val="A1"/>
          <w:rFonts w:ascii="Times New Roman" w:hAnsi="Times New Roman" w:cs="Times New Roman"/>
        </w:rPr>
        <w:t>r</w:t>
      </w:r>
      <w:r w:rsidRPr="0019774B">
        <w:rPr>
          <w:rStyle w:val="A1"/>
          <w:rFonts w:ascii="Times New Roman" w:hAnsi="Times New Roman" w:cs="Times New Roman"/>
        </w:rPr>
        <w:t>dır. Aile içi uygun vericisi bulun</w:t>
      </w:r>
      <w:r w:rsidRPr="0019774B">
        <w:rPr>
          <w:rStyle w:val="A1"/>
          <w:rFonts w:ascii="Times New Roman" w:hAnsi="Times New Roman" w:cs="Times New Roman"/>
        </w:rPr>
        <w:t>a</w:t>
      </w:r>
      <w:r w:rsidRPr="0019774B">
        <w:rPr>
          <w:rStyle w:val="A1"/>
          <w:rFonts w:ascii="Times New Roman" w:hAnsi="Times New Roman" w:cs="Times New Roman"/>
        </w:rPr>
        <w:t>mayan olgularda ise öncelikle ATG ve siklosporin-A ile immunsupresif tedavi d</w:t>
      </w:r>
      <w:r w:rsidRPr="0019774B">
        <w:rPr>
          <w:rStyle w:val="A1"/>
          <w:rFonts w:ascii="Times New Roman" w:hAnsi="Times New Roman" w:cs="Times New Roman"/>
        </w:rPr>
        <w:t>e</w:t>
      </w:r>
      <w:r w:rsidRPr="0019774B">
        <w:rPr>
          <w:rStyle w:val="A1"/>
          <w:rFonts w:ascii="Times New Roman" w:hAnsi="Times New Roman" w:cs="Times New Roman"/>
        </w:rPr>
        <w:t>nenmelidir. İmmünsüpresif tedaviye yanıtsız hasta</w:t>
      </w:r>
      <w:r>
        <w:rPr>
          <w:rStyle w:val="A1"/>
          <w:rFonts w:ascii="Times New Roman" w:hAnsi="Times New Roman" w:cs="Times New Roman"/>
        </w:rPr>
        <w:t>-</w:t>
      </w:r>
      <w:r w:rsidRPr="0019774B">
        <w:rPr>
          <w:rStyle w:val="A1"/>
          <w:rFonts w:ascii="Times New Roman" w:hAnsi="Times New Roman" w:cs="Times New Roman"/>
        </w:rPr>
        <w:t>lar için önc</w:t>
      </w:r>
      <w:r w:rsidRPr="0019774B">
        <w:rPr>
          <w:rStyle w:val="A1"/>
          <w:rFonts w:ascii="Times New Roman" w:hAnsi="Times New Roman" w:cs="Times New Roman"/>
        </w:rPr>
        <w:t>e</w:t>
      </w:r>
      <w:r w:rsidRPr="0019774B">
        <w:rPr>
          <w:rStyle w:val="A1"/>
          <w:rFonts w:ascii="Times New Roman" w:hAnsi="Times New Roman" w:cs="Times New Roman"/>
        </w:rPr>
        <w:t>likli olarak akraba dışı donörden öncelikle kemik iliği, sonraki seç</w:t>
      </w:r>
      <w:r w:rsidRPr="0019774B">
        <w:rPr>
          <w:rStyle w:val="A1"/>
          <w:rFonts w:ascii="Times New Roman" w:hAnsi="Times New Roman" w:cs="Times New Roman"/>
        </w:rPr>
        <w:t>e</w:t>
      </w:r>
      <w:r w:rsidRPr="0019774B">
        <w:rPr>
          <w:rStyle w:val="A1"/>
          <w:rFonts w:ascii="Times New Roman" w:hAnsi="Times New Roman" w:cs="Times New Roman"/>
        </w:rPr>
        <w:t>nek olarak PKH aranmalıdır. Kordon kanı SAA’li hastalarda çok tercih edilmeme</w:t>
      </w:r>
      <w:r w:rsidRPr="0019774B">
        <w:rPr>
          <w:rStyle w:val="A1"/>
          <w:rFonts w:ascii="Times New Roman" w:hAnsi="Times New Roman" w:cs="Times New Roman"/>
        </w:rPr>
        <w:t>k</w:t>
      </w:r>
      <w:r>
        <w:rPr>
          <w:rStyle w:val="A1"/>
          <w:rFonts w:ascii="Times New Roman" w:hAnsi="Times New Roman" w:cs="Times New Roman"/>
        </w:rPr>
        <w:t>-</w:t>
      </w:r>
      <w:r w:rsidRPr="0019774B">
        <w:rPr>
          <w:rStyle w:val="A1"/>
          <w:rFonts w:ascii="Times New Roman" w:hAnsi="Times New Roman" w:cs="Times New Roman"/>
        </w:rPr>
        <w:t>tedir. Son olarak,</w:t>
      </w:r>
      <w:r w:rsidRPr="0019774B">
        <w:rPr>
          <w:rStyle w:val="A4"/>
          <w:rFonts w:ascii="Times New Roman" w:hAnsi="Times New Roman" w:cs="Times New Roman"/>
          <w:sz w:val="20"/>
          <w:szCs w:val="20"/>
        </w:rPr>
        <w:t xml:space="preserve"> </w:t>
      </w:r>
      <w:r w:rsidRPr="0019774B">
        <w:rPr>
          <w:rStyle w:val="A1"/>
          <w:rFonts w:ascii="Times New Roman" w:hAnsi="Times New Roman" w:cs="Times New Roman"/>
        </w:rPr>
        <w:t>ç</w:t>
      </w:r>
      <w:r w:rsidRPr="0019774B">
        <w:rPr>
          <w:rStyle w:val="A1"/>
          <w:rFonts w:ascii="Times New Roman" w:hAnsi="Times New Roman" w:cs="Times New Roman"/>
        </w:rPr>
        <w:t>o</w:t>
      </w:r>
      <w:r w:rsidRPr="0019774B">
        <w:rPr>
          <w:rStyle w:val="A1"/>
          <w:rFonts w:ascii="Times New Roman" w:hAnsi="Times New Roman" w:cs="Times New Roman"/>
        </w:rPr>
        <w:t>cuk ve adolesan olgularda kardeş ve akraba dışı HKHT sonuçlarına göre 10 yıllık yaşam oranlarını sırasıyla % 96. 7 ve % 84. 7 bulu</w:t>
      </w:r>
      <w:r w:rsidRPr="0019774B">
        <w:rPr>
          <w:rStyle w:val="A1"/>
          <w:rFonts w:ascii="Times New Roman" w:hAnsi="Times New Roman" w:cs="Times New Roman"/>
        </w:rPr>
        <w:t>n</w:t>
      </w:r>
      <w:r w:rsidRPr="0019774B">
        <w:rPr>
          <w:rStyle w:val="A1"/>
          <w:rFonts w:ascii="Times New Roman" w:hAnsi="Times New Roman" w:cs="Times New Roman"/>
        </w:rPr>
        <w:t xml:space="preserve">muştur.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Kalıtsal Kemik İliği Yetmezlikleri</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Fanconi Anemisi (FA)</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FA değişik somatik bozukluklar, ilerleyici kemik iliği yetmezliği, malignensiye eğilim (öz. akut lös</w:t>
      </w:r>
      <w:r w:rsidRPr="0019774B">
        <w:rPr>
          <w:rStyle w:val="A1"/>
          <w:rFonts w:ascii="Times New Roman" w:hAnsi="Times New Roman" w:cs="Times New Roman"/>
        </w:rPr>
        <w:t>e</w:t>
      </w:r>
      <w:r w:rsidRPr="0019774B">
        <w:rPr>
          <w:rStyle w:val="A1"/>
          <w:rFonts w:ascii="Times New Roman" w:hAnsi="Times New Roman" w:cs="Times New Roman"/>
        </w:rPr>
        <w:t>mi) ile karekterize seyrek rastlanan genetik bir hastalıktır. FA olgul</w:t>
      </w:r>
      <w:r w:rsidRPr="0019774B">
        <w:rPr>
          <w:rStyle w:val="A1"/>
          <w:rFonts w:ascii="Times New Roman" w:hAnsi="Times New Roman" w:cs="Times New Roman"/>
        </w:rPr>
        <w:t>a</w:t>
      </w:r>
      <w:r w:rsidRPr="0019774B">
        <w:rPr>
          <w:rStyle w:val="A1"/>
          <w:rFonts w:ascii="Times New Roman" w:hAnsi="Times New Roman" w:cs="Times New Roman"/>
        </w:rPr>
        <w:t>rında HLA uygun aile içi veya dışı vericilerden HKHT endikasyonu vardır. Ancak bu hastalarda HKHT’nin sadece hematolojik bozuklukları düzel</w:t>
      </w:r>
      <w:r w:rsidRPr="0019774B">
        <w:rPr>
          <w:rStyle w:val="A1"/>
          <w:rFonts w:ascii="Times New Roman" w:hAnsi="Times New Roman" w:cs="Times New Roman"/>
        </w:rPr>
        <w:t>t</w:t>
      </w:r>
      <w:r>
        <w:rPr>
          <w:rStyle w:val="A1"/>
          <w:rFonts w:ascii="Times New Roman" w:hAnsi="Times New Roman" w:cs="Times New Roman"/>
        </w:rPr>
        <w:t>-</w:t>
      </w:r>
      <w:r w:rsidRPr="0019774B">
        <w:rPr>
          <w:rStyle w:val="A1"/>
          <w:rFonts w:ascii="Times New Roman" w:hAnsi="Times New Roman" w:cs="Times New Roman"/>
        </w:rPr>
        <w:t>meye yönelik bir tedavi olduğu konusunda nakil önc</w:t>
      </w:r>
      <w:r w:rsidRPr="0019774B">
        <w:rPr>
          <w:rStyle w:val="A1"/>
          <w:rFonts w:ascii="Times New Roman" w:hAnsi="Times New Roman" w:cs="Times New Roman"/>
        </w:rPr>
        <w:t>e</w:t>
      </w:r>
      <w:r w:rsidRPr="0019774B">
        <w:rPr>
          <w:rStyle w:val="A1"/>
          <w:rFonts w:ascii="Times New Roman" w:hAnsi="Times New Roman" w:cs="Times New Roman"/>
        </w:rPr>
        <w:t>si aileye bilgi verilmelidir. FA’li hastalarda DNA hasarı nedeniyle alışılmış hazırlama rejimleri ağır toksisiteye neden olmaktadır. Bu nedenle son yıllarda fludarabin ku</w:t>
      </w:r>
      <w:r w:rsidRPr="0019774B">
        <w:rPr>
          <w:rStyle w:val="A1"/>
          <w:rFonts w:ascii="Times New Roman" w:hAnsi="Times New Roman" w:cs="Times New Roman"/>
        </w:rPr>
        <w:t>l</w:t>
      </w:r>
      <w:r w:rsidRPr="0019774B">
        <w:rPr>
          <w:rStyle w:val="A1"/>
          <w:rFonts w:ascii="Times New Roman" w:hAnsi="Times New Roman" w:cs="Times New Roman"/>
        </w:rPr>
        <w:t>lanılan düşük yoğunlukta rejimler tercih edilmekt</w:t>
      </w:r>
      <w:r w:rsidRPr="0019774B">
        <w:rPr>
          <w:rStyle w:val="A1"/>
          <w:rFonts w:ascii="Times New Roman" w:hAnsi="Times New Roman" w:cs="Times New Roman"/>
        </w:rPr>
        <w:t>e</w:t>
      </w:r>
      <w:r w:rsidRPr="0019774B">
        <w:rPr>
          <w:rStyle w:val="A1"/>
          <w:rFonts w:ascii="Times New Roman" w:hAnsi="Times New Roman" w:cs="Times New Roman"/>
        </w:rPr>
        <w:t>dir. HKHT sonrası FA olguları çeşitli organ disfonksiyonları ve artmış malignensi riski yönünden yakından izlenmel</w:t>
      </w:r>
      <w:r w:rsidRPr="0019774B">
        <w:rPr>
          <w:rStyle w:val="A1"/>
          <w:rFonts w:ascii="Times New Roman" w:hAnsi="Times New Roman" w:cs="Times New Roman"/>
        </w:rPr>
        <w:t>i</w:t>
      </w:r>
      <w:r w:rsidRPr="0019774B">
        <w:rPr>
          <w:rStyle w:val="A1"/>
          <w:rFonts w:ascii="Times New Roman" w:hAnsi="Times New Roman" w:cs="Times New Roman"/>
        </w:rPr>
        <w:t xml:space="preserve">dir. </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b/>
          <w:bCs/>
        </w:rPr>
        <w:t>Diamond Blackfan Anemisi (DBA)</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Kemik iliğinde eritroid öncül hücr</w:t>
      </w:r>
      <w:r w:rsidRPr="0019774B">
        <w:rPr>
          <w:rStyle w:val="A1"/>
          <w:rFonts w:ascii="Times New Roman" w:hAnsi="Times New Roman" w:cs="Times New Roman"/>
        </w:rPr>
        <w:t>e</w:t>
      </w:r>
      <w:r w:rsidRPr="0019774B">
        <w:rPr>
          <w:rStyle w:val="A1"/>
          <w:rFonts w:ascii="Times New Roman" w:hAnsi="Times New Roman" w:cs="Times New Roman"/>
        </w:rPr>
        <w:t>lerin azalması veya yokluğu ile karekterize olan bu olgularda steroid y</w:t>
      </w:r>
      <w:r w:rsidRPr="0019774B">
        <w:rPr>
          <w:rStyle w:val="A1"/>
          <w:rFonts w:ascii="Times New Roman" w:hAnsi="Times New Roman" w:cs="Times New Roman"/>
        </w:rPr>
        <w:t>a</w:t>
      </w:r>
      <w:r w:rsidRPr="0019774B">
        <w:rPr>
          <w:rStyle w:val="A1"/>
          <w:rFonts w:ascii="Times New Roman" w:hAnsi="Times New Roman" w:cs="Times New Roman"/>
        </w:rPr>
        <w:t>nıtsızlığı veya bağımlılığı varsa allojenik HKHT endikasyonu vardır. HLA uyumlu kardeşten y</w:t>
      </w:r>
      <w:r w:rsidRPr="0019774B">
        <w:rPr>
          <w:rStyle w:val="A1"/>
          <w:rFonts w:ascii="Times New Roman" w:hAnsi="Times New Roman" w:cs="Times New Roman"/>
        </w:rPr>
        <w:t>a</w:t>
      </w:r>
      <w:r w:rsidRPr="0019774B">
        <w:rPr>
          <w:rStyle w:val="A1"/>
          <w:rFonts w:ascii="Times New Roman" w:hAnsi="Times New Roman" w:cs="Times New Roman"/>
        </w:rPr>
        <w:t>pılan nakillerde 5 yıllık yaşam % 87. 5 olarak bildirilmiştir. Ancak alternatif vericilerden yapılan HKHT’larda sonuçlar daha köt</w:t>
      </w:r>
      <w:r w:rsidRPr="0019774B">
        <w:rPr>
          <w:rStyle w:val="A1"/>
          <w:rFonts w:ascii="Times New Roman" w:hAnsi="Times New Roman" w:cs="Times New Roman"/>
        </w:rPr>
        <w:t>ü</w:t>
      </w:r>
      <w:r w:rsidRPr="0019774B">
        <w:rPr>
          <w:rStyle w:val="A1"/>
          <w:rFonts w:ascii="Times New Roman" w:hAnsi="Times New Roman" w:cs="Times New Roman"/>
        </w:rPr>
        <w:t xml:space="preserve">dür.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Konjenital Amegakaryositik Trombositopeni</w:t>
      </w:r>
    </w:p>
    <w:p w:rsidR="00D46298" w:rsidRPr="0019774B" w:rsidRDefault="00D46298" w:rsidP="00D46298">
      <w:pPr>
        <w:pStyle w:val="Pa1"/>
        <w:spacing w:after="16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Otozomal resesssif geçiş gösteren ve hayatın ilk gü</w:t>
      </w:r>
      <w:r w:rsidRPr="0019774B">
        <w:rPr>
          <w:rStyle w:val="A1"/>
          <w:rFonts w:ascii="Times New Roman" w:hAnsi="Times New Roman" w:cs="Times New Roman"/>
        </w:rPr>
        <w:t>n</w:t>
      </w:r>
      <w:r w:rsidRPr="0019774B">
        <w:rPr>
          <w:rStyle w:val="A1"/>
          <w:rFonts w:ascii="Times New Roman" w:hAnsi="Times New Roman" w:cs="Times New Roman"/>
        </w:rPr>
        <w:t>lerinde tanı konul</w:t>
      </w:r>
      <w:r w:rsidRPr="0019774B">
        <w:rPr>
          <w:rStyle w:val="A1"/>
          <w:rFonts w:ascii="Times New Roman" w:hAnsi="Times New Roman" w:cs="Times New Roman"/>
        </w:rPr>
        <w:t>a</w:t>
      </w:r>
      <w:r w:rsidRPr="0019774B">
        <w:rPr>
          <w:rStyle w:val="A1"/>
          <w:rFonts w:ascii="Times New Roman" w:hAnsi="Times New Roman" w:cs="Times New Roman"/>
        </w:rPr>
        <w:t>bilen bu olgularda HKHT tek tedavi edici yö</w:t>
      </w:r>
      <w:r w:rsidRPr="0019774B">
        <w:rPr>
          <w:rStyle w:val="A1"/>
          <w:rFonts w:ascii="Times New Roman" w:hAnsi="Times New Roman" w:cs="Times New Roman"/>
        </w:rPr>
        <w:t>n</w:t>
      </w:r>
      <w:r w:rsidRPr="0019774B">
        <w:rPr>
          <w:rStyle w:val="A1"/>
          <w:rFonts w:ascii="Times New Roman" w:hAnsi="Times New Roman" w:cs="Times New Roman"/>
        </w:rPr>
        <w:t xml:space="preserve">temdir.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Kostmann Sendromu ve Ağır Konjenital Nötropeni</w:t>
      </w:r>
    </w:p>
    <w:p w:rsidR="00D46298" w:rsidRPr="0019774B" w:rsidRDefault="00D46298" w:rsidP="00D46298">
      <w:pPr>
        <w:pStyle w:val="Pa1"/>
        <w:spacing w:after="16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Ağır nötropeni ve sık bakterial e</w:t>
      </w:r>
      <w:r w:rsidRPr="0019774B">
        <w:rPr>
          <w:rStyle w:val="A1"/>
          <w:rFonts w:ascii="Times New Roman" w:hAnsi="Times New Roman" w:cs="Times New Roman"/>
        </w:rPr>
        <w:t>n</w:t>
      </w:r>
      <w:r w:rsidRPr="0019774B">
        <w:rPr>
          <w:rStyle w:val="A1"/>
          <w:rFonts w:ascii="Times New Roman" w:hAnsi="Times New Roman" w:cs="Times New Roman"/>
        </w:rPr>
        <w:t>feksiyonlar ile karekterize olan bu olgularda özellikle G-CSF direnci veya MDS/AML söz konusu ise a</w:t>
      </w:r>
      <w:r w:rsidRPr="0019774B">
        <w:rPr>
          <w:rStyle w:val="A1"/>
          <w:rFonts w:ascii="Times New Roman" w:hAnsi="Times New Roman" w:cs="Times New Roman"/>
        </w:rPr>
        <w:t>k</w:t>
      </w:r>
      <w:r w:rsidRPr="0019774B">
        <w:rPr>
          <w:rStyle w:val="A1"/>
          <w:rFonts w:ascii="Times New Roman" w:hAnsi="Times New Roman" w:cs="Times New Roman"/>
        </w:rPr>
        <w:t xml:space="preserve">raba veya akraba dışı allojenik HKHT endikasyonu vardır. </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b/>
          <w:bCs/>
        </w:rPr>
        <w:t>Hemoglobinopatiler</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Destekleyici tedavilerdeki son geli</w:t>
      </w:r>
      <w:r w:rsidRPr="0019774B">
        <w:rPr>
          <w:rStyle w:val="A1"/>
          <w:rFonts w:ascii="Times New Roman" w:hAnsi="Times New Roman" w:cs="Times New Roman"/>
        </w:rPr>
        <w:t>ş</w:t>
      </w:r>
      <w:r w:rsidRPr="0019774B">
        <w:rPr>
          <w:rStyle w:val="A1"/>
          <w:rFonts w:ascii="Times New Roman" w:hAnsi="Times New Roman" w:cs="Times New Roman"/>
        </w:rPr>
        <w:t>melere rağmen bugün için talasemi ve orak hücre anemisinde tek kesin tedavi yönteminin HKHT olduğu kabul edilme</w:t>
      </w:r>
      <w:r w:rsidRPr="0019774B">
        <w:rPr>
          <w:rStyle w:val="A1"/>
          <w:rFonts w:ascii="Times New Roman" w:hAnsi="Times New Roman" w:cs="Times New Roman"/>
        </w:rPr>
        <w:t>k</w:t>
      </w:r>
      <w:r>
        <w:rPr>
          <w:rStyle w:val="A1"/>
          <w:rFonts w:ascii="Times New Roman" w:hAnsi="Times New Roman" w:cs="Times New Roman"/>
        </w:rPr>
        <w:t>-</w:t>
      </w:r>
      <w:r w:rsidRPr="0019774B">
        <w:rPr>
          <w:rStyle w:val="A1"/>
          <w:rFonts w:ascii="Times New Roman" w:hAnsi="Times New Roman" w:cs="Times New Roman"/>
        </w:rPr>
        <w:t>tedir. HKHT sonrası talasemisiz yaşam % 75-80 ol</w:t>
      </w:r>
      <w:r w:rsidRPr="0019774B">
        <w:rPr>
          <w:rStyle w:val="A1"/>
          <w:rFonts w:ascii="Times New Roman" w:hAnsi="Times New Roman" w:cs="Times New Roman"/>
        </w:rPr>
        <w:t>a</w:t>
      </w:r>
      <w:r w:rsidRPr="0019774B">
        <w:rPr>
          <w:rStyle w:val="A1"/>
          <w:rFonts w:ascii="Times New Roman" w:hAnsi="Times New Roman" w:cs="Times New Roman"/>
        </w:rPr>
        <w:t>rak bildirilmektedir. Düşük risk gr</w:t>
      </w:r>
      <w:r w:rsidRPr="0019774B">
        <w:rPr>
          <w:rStyle w:val="A1"/>
          <w:rFonts w:ascii="Times New Roman" w:hAnsi="Times New Roman" w:cs="Times New Roman"/>
        </w:rPr>
        <w:t>u</w:t>
      </w:r>
      <w:r w:rsidRPr="0019774B">
        <w:rPr>
          <w:rStyle w:val="A1"/>
          <w:rFonts w:ascii="Times New Roman" w:hAnsi="Times New Roman" w:cs="Times New Roman"/>
        </w:rPr>
        <w:t>bunda ve erken yaşlarda sonuçlar daha başarılıdır. Bu nedenle akraba vericisi olan beta talasemili olgula</w:t>
      </w:r>
      <w:r w:rsidRPr="0019774B">
        <w:rPr>
          <w:rStyle w:val="A1"/>
          <w:rFonts w:ascii="Times New Roman" w:hAnsi="Times New Roman" w:cs="Times New Roman"/>
        </w:rPr>
        <w:t>r</w:t>
      </w:r>
      <w:r w:rsidRPr="0019774B">
        <w:rPr>
          <w:rStyle w:val="A1"/>
          <w:rFonts w:ascii="Times New Roman" w:hAnsi="Times New Roman" w:cs="Times New Roman"/>
        </w:rPr>
        <w:t>da henüz demir birikimine bağlı komplikasyonlar gelişmeden erken dönemde HKHT uygulanmalıdır. Başarılı sonuçlar bildirilmiş olsa da tam uyumlu olmayan akraba veya akraba dışı uyumlu vericilerden n</w:t>
      </w:r>
      <w:r w:rsidRPr="0019774B">
        <w:rPr>
          <w:rStyle w:val="A1"/>
          <w:rFonts w:ascii="Times New Roman" w:hAnsi="Times New Roman" w:cs="Times New Roman"/>
        </w:rPr>
        <w:t>a</w:t>
      </w:r>
      <w:r w:rsidRPr="0019774B">
        <w:rPr>
          <w:rStyle w:val="A1"/>
          <w:rFonts w:ascii="Times New Roman" w:hAnsi="Times New Roman" w:cs="Times New Roman"/>
        </w:rPr>
        <w:t xml:space="preserve">kil </w:t>
      </w:r>
      <w:r w:rsidRPr="0019774B">
        <w:rPr>
          <w:rStyle w:val="A1"/>
          <w:rFonts w:ascii="Times New Roman" w:hAnsi="Times New Roman" w:cs="Times New Roman"/>
        </w:rPr>
        <w:lastRenderedPageBreak/>
        <w:t>yapılması greft reddinin, nakil ilişkili mortalitenin ve GVHD risk</w:t>
      </w:r>
      <w:r w:rsidRPr="0019774B">
        <w:rPr>
          <w:rStyle w:val="A1"/>
          <w:rFonts w:ascii="Times New Roman" w:hAnsi="Times New Roman" w:cs="Times New Roman"/>
        </w:rPr>
        <w:t>i</w:t>
      </w:r>
      <w:r w:rsidRPr="0019774B">
        <w:rPr>
          <w:rStyle w:val="A1"/>
          <w:rFonts w:ascii="Times New Roman" w:hAnsi="Times New Roman" w:cs="Times New Roman"/>
        </w:rPr>
        <w:t>nin yüksek olması nedeniyle henüz rutin bir uygulama olarak yaygın olarak kullanılmamaktadır. Beta tala</w:t>
      </w:r>
      <w:r>
        <w:rPr>
          <w:rStyle w:val="A1"/>
          <w:rFonts w:ascii="Times New Roman" w:hAnsi="Times New Roman" w:cs="Times New Roman"/>
        </w:rPr>
        <w:t>-</w:t>
      </w:r>
      <w:r w:rsidRPr="0019774B">
        <w:rPr>
          <w:rStyle w:val="A1"/>
          <w:rFonts w:ascii="Times New Roman" w:hAnsi="Times New Roman" w:cs="Times New Roman"/>
        </w:rPr>
        <w:t>semi ve orak hücre anemisinde kordon kanı ile de olumlu sonuçlar yayınlanmıştır. Ancak hemoglobino</w:t>
      </w:r>
      <w:r>
        <w:rPr>
          <w:rStyle w:val="A1"/>
          <w:rFonts w:ascii="Times New Roman" w:hAnsi="Times New Roman" w:cs="Times New Roman"/>
        </w:rPr>
        <w:t>-</w:t>
      </w:r>
      <w:r w:rsidRPr="0019774B">
        <w:rPr>
          <w:rStyle w:val="A1"/>
          <w:rFonts w:ascii="Times New Roman" w:hAnsi="Times New Roman" w:cs="Times New Roman"/>
        </w:rPr>
        <w:t>patilerde kordon kanı ile yapılan nakillerde greft ye</w:t>
      </w:r>
      <w:r w:rsidRPr="0019774B">
        <w:rPr>
          <w:rStyle w:val="A1"/>
          <w:rFonts w:ascii="Times New Roman" w:hAnsi="Times New Roman" w:cs="Times New Roman"/>
        </w:rPr>
        <w:t>t</w:t>
      </w:r>
      <w:r>
        <w:rPr>
          <w:rStyle w:val="A1"/>
          <w:rFonts w:ascii="Times New Roman" w:hAnsi="Times New Roman" w:cs="Times New Roman"/>
        </w:rPr>
        <w:t>-</w:t>
      </w:r>
      <w:r w:rsidRPr="0019774B">
        <w:rPr>
          <w:rStyle w:val="A1"/>
          <w:rFonts w:ascii="Times New Roman" w:hAnsi="Times New Roman" w:cs="Times New Roman"/>
        </w:rPr>
        <w:t>mezl</w:t>
      </w:r>
      <w:r w:rsidRPr="0019774B">
        <w:rPr>
          <w:rStyle w:val="A1"/>
          <w:rFonts w:ascii="Times New Roman" w:hAnsi="Times New Roman" w:cs="Times New Roman"/>
        </w:rPr>
        <w:t>i</w:t>
      </w:r>
      <w:r w:rsidRPr="0019774B">
        <w:rPr>
          <w:rStyle w:val="A1"/>
          <w:rFonts w:ascii="Times New Roman" w:hAnsi="Times New Roman" w:cs="Times New Roman"/>
        </w:rPr>
        <w:t xml:space="preserve">ği ve hastalığın tekrarlaması en önemli sorundur. </w:t>
      </w:r>
    </w:p>
    <w:p w:rsidR="00D46298" w:rsidRPr="0019774B" w:rsidRDefault="00D46298" w:rsidP="00D46298">
      <w:pPr>
        <w:pStyle w:val="Default"/>
        <w:spacing w:after="120" w:line="250" w:lineRule="auto"/>
        <w:jc w:val="both"/>
        <w:rPr>
          <w:rFonts w:ascii="Times New Roman" w:hAnsi="Times New Roman" w:cs="Times New Roman"/>
          <w:sz w:val="20"/>
          <w:szCs w:val="20"/>
          <w:lang w:eastAsia="en-US"/>
        </w:rPr>
      </w:pPr>
      <w:r w:rsidRPr="00933C92">
        <w:rPr>
          <w:rFonts w:ascii="Times New Roman" w:hAnsi="Times New Roman" w:cs="Times New Roman"/>
          <w:spacing w:val="-2"/>
          <w:sz w:val="20"/>
          <w:szCs w:val="20"/>
          <w:lang w:eastAsia="en-US"/>
        </w:rPr>
        <w:t>Ülkemizde Talasemi majör’de yapılan kök hücre nakil</w:t>
      </w:r>
      <w:r>
        <w:rPr>
          <w:rFonts w:ascii="Times New Roman" w:hAnsi="Times New Roman" w:cs="Times New Roman"/>
          <w:sz w:val="20"/>
          <w:szCs w:val="20"/>
          <w:lang w:eastAsia="en-US"/>
        </w:rPr>
        <w:t>-</w:t>
      </w:r>
      <w:r w:rsidRPr="0019774B">
        <w:rPr>
          <w:rFonts w:ascii="Times New Roman" w:hAnsi="Times New Roman" w:cs="Times New Roman"/>
          <w:sz w:val="20"/>
          <w:szCs w:val="20"/>
          <w:lang w:eastAsia="en-US"/>
        </w:rPr>
        <w:t>lerin tüm transplantasyonların %20 kadarını oluştu</w:t>
      </w:r>
      <w:r w:rsidRPr="0019774B">
        <w:rPr>
          <w:rFonts w:ascii="Times New Roman" w:hAnsi="Times New Roman" w:cs="Times New Roman"/>
          <w:sz w:val="20"/>
          <w:szCs w:val="20"/>
          <w:lang w:eastAsia="en-US"/>
        </w:rPr>
        <w:t>r</w:t>
      </w:r>
      <w:r>
        <w:rPr>
          <w:rFonts w:ascii="Times New Roman" w:hAnsi="Times New Roman" w:cs="Times New Roman"/>
          <w:sz w:val="20"/>
          <w:szCs w:val="20"/>
          <w:lang w:eastAsia="en-US"/>
        </w:rPr>
        <w:t>-</w:t>
      </w:r>
      <w:r w:rsidRPr="0019774B">
        <w:rPr>
          <w:rFonts w:ascii="Times New Roman" w:hAnsi="Times New Roman" w:cs="Times New Roman"/>
          <w:sz w:val="20"/>
          <w:szCs w:val="20"/>
          <w:lang w:eastAsia="en-US"/>
        </w:rPr>
        <w:t xml:space="preserve">ması dikkati çekmektedir. </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Günümüzde orak hücre anemili ha</w:t>
      </w:r>
      <w:r w:rsidRPr="0019774B">
        <w:rPr>
          <w:rStyle w:val="A1"/>
          <w:rFonts w:ascii="Times New Roman" w:hAnsi="Times New Roman" w:cs="Times New Roman"/>
        </w:rPr>
        <w:t>s</w:t>
      </w:r>
      <w:r w:rsidRPr="0019774B">
        <w:rPr>
          <w:rStyle w:val="A1"/>
          <w:rFonts w:ascii="Times New Roman" w:hAnsi="Times New Roman" w:cs="Times New Roman"/>
        </w:rPr>
        <w:t>talarda daha iyi destekleyici tedavi verilebilmesi, pnö</w:t>
      </w:r>
      <w:r w:rsidRPr="0019774B">
        <w:rPr>
          <w:rStyle w:val="A1"/>
          <w:rFonts w:ascii="Times New Roman" w:hAnsi="Times New Roman" w:cs="Times New Roman"/>
        </w:rPr>
        <w:softHyphen/>
        <w:t>mokok aşılarının ve hidroksi üre tedavisinin başarılı sonuçları ile yaşam kalitesi artırıl</w:t>
      </w:r>
      <w:r w:rsidRPr="0019774B">
        <w:rPr>
          <w:rStyle w:val="A1"/>
          <w:rFonts w:ascii="Times New Roman" w:hAnsi="Times New Roman" w:cs="Times New Roman"/>
        </w:rPr>
        <w:t>a</w:t>
      </w:r>
      <w:r>
        <w:rPr>
          <w:rStyle w:val="A1"/>
          <w:rFonts w:ascii="Times New Roman" w:hAnsi="Times New Roman" w:cs="Times New Roman"/>
        </w:rPr>
        <w:t>bil</w:t>
      </w:r>
      <w:r w:rsidRPr="0019774B">
        <w:rPr>
          <w:rStyle w:val="A1"/>
          <w:rFonts w:ascii="Times New Roman" w:hAnsi="Times New Roman" w:cs="Times New Roman"/>
        </w:rPr>
        <w:t>diği için HKHT sadece yüksek riskli olgulara sınırlı kalmı</w:t>
      </w:r>
      <w:r w:rsidRPr="0019774B">
        <w:rPr>
          <w:rStyle w:val="A1"/>
          <w:rFonts w:ascii="Times New Roman" w:hAnsi="Times New Roman" w:cs="Times New Roman"/>
        </w:rPr>
        <w:t>ş</w:t>
      </w:r>
      <w:r w:rsidRPr="0019774B">
        <w:rPr>
          <w:rStyle w:val="A1"/>
          <w:rFonts w:ascii="Times New Roman" w:hAnsi="Times New Roman" w:cs="Times New Roman"/>
        </w:rPr>
        <w:t xml:space="preserve">tır.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Metabolik Hastalıklar</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Çoğunluğu lizozomal depo hastalıkları olan bu olg</w:t>
      </w:r>
      <w:r w:rsidRPr="0019774B">
        <w:rPr>
          <w:rStyle w:val="A1"/>
          <w:rFonts w:ascii="Times New Roman" w:hAnsi="Times New Roman" w:cs="Times New Roman"/>
        </w:rPr>
        <w:t>u</w:t>
      </w:r>
      <w:r w:rsidRPr="0019774B">
        <w:rPr>
          <w:rStyle w:val="A1"/>
          <w:rFonts w:ascii="Times New Roman" w:hAnsi="Times New Roman" w:cs="Times New Roman"/>
        </w:rPr>
        <w:t>larda HKHT nin etkisi eksik olan enzimin donör k</w:t>
      </w:r>
      <w:r w:rsidRPr="0019774B">
        <w:rPr>
          <w:rStyle w:val="A1"/>
          <w:rFonts w:ascii="Times New Roman" w:hAnsi="Times New Roman" w:cs="Times New Roman"/>
        </w:rPr>
        <w:t>ö</w:t>
      </w:r>
      <w:r w:rsidRPr="0019774B">
        <w:rPr>
          <w:rStyle w:val="A1"/>
          <w:rFonts w:ascii="Times New Roman" w:hAnsi="Times New Roman" w:cs="Times New Roman"/>
        </w:rPr>
        <w:t>kenli hücrele</w:t>
      </w:r>
      <w:r w:rsidRPr="0019774B">
        <w:rPr>
          <w:rStyle w:val="A1"/>
          <w:rFonts w:ascii="Times New Roman" w:hAnsi="Times New Roman" w:cs="Times New Roman"/>
        </w:rPr>
        <w:t>r</w:t>
      </w:r>
      <w:r w:rsidRPr="0019774B">
        <w:rPr>
          <w:rStyle w:val="A1"/>
          <w:rFonts w:ascii="Times New Roman" w:hAnsi="Times New Roman" w:cs="Times New Roman"/>
        </w:rPr>
        <w:t>den hastanın retiküloendotelial siste</w:t>
      </w:r>
      <w:r>
        <w:rPr>
          <w:rStyle w:val="A1"/>
          <w:rFonts w:ascii="Times New Roman" w:hAnsi="Times New Roman" w:cs="Times New Roman"/>
        </w:rPr>
        <w:t>-</w:t>
      </w:r>
      <w:r w:rsidRPr="0019774B">
        <w:rPr>
          <w:rStyle w:val="A1"/>
          <w:rFonts w:ascii="Times New Roman" w:hAnsi="Times New Roman" w:cs="Times New Roman"/>
        </w:rPr>
        <w:t>mine veya solid organlara transferine dayanmaktadır. Adrenolökodistrofi (ALD) Tip-I mukopolisakkoridoz (Hurler sendromu) ve osteopetrozisli çocuklarda allojenik HKHT rutin olarak uygulanma</w:t>
      </w:r>
      <w:r w:rsidRPr="0019774B">
        <w:rPr>
          <w:rStyle w:val="A1"/>
          <w:rFonts w:ascii="Times New Roman" w:hAnsi="Times New Roman" w:cs="Times New Roman"/>
        </w:rPr>
        <w:t>k</w:t>
      </w:r>
      <w:r w:rsidRPr="0019774B">
        <w:rPr>
          <w:rStyle w:val="A1"/>
          <w:rFonts w:ascii="Times New Roman" w:hAnsi="Times New Roman" w:cs="Times New Roman"/>
        </w:rPr>
        <w:t xml:space="preserve">tadır. </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b/>
          <w:bCs/>
        </w:rPr>
        <w:t>Solid Tümörler</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Nöroblastoma ve Ewing sarkomunda otolog HKHT ile daha iyi sonuçlar alındığını bildirmektedir. Bu olg</w:t>
      </w:r>
      <w:r w:rsidRPr="0019774B">
        <w:rPr>
          <w:rStyle w:val="A1"/>
          <w:rFonts w:ascii="Times New Roman" w:hAnsi="Times New Roman" w:cs="Times New Roman"/>
        </w:rPr>
        <w:t>u</w:t>
      </w:r>
      <w:r w:rsidRPr="0019774B">
        <w:rPr>
          <w:rStyle w:val="A1"/>
          <w:rFonts w:ascii="Times New Roman" w:hAnsi="Times New Roman" w:cs="Times New Roman"/>
        </w:rPr>
        <w:t>larda prospektif ve randomize çalışmalar ile kesin endikasyon olduğu kabul edilmiştir. Aşağıdaki duru</w:t>
      </w:r>
      <w:r w:rsidRPr="0019774B">
        <w:rPr>
          <w:rStyle w:val="A1"/>
          <w:rFonts w:ascii="Times New Roman" w:hAnsi="Times New Roman" w:cs="Times New Roman"/>
        </w:rPr>
        <w:t>m</w:t>
      </w:r>
      <w:r>
        <w:rPr>
          <w:rStyle w:val="A1"/>
          <w:rFonts w:ascii="Times New Roman" w:hAnsi="Times New Roman" w:cs="Times New Roman"/>
        </w:rPr>
        <w:t>-</w:t>
      </w:r>
      <w:r w:rsidRPr="0019774B">
        <w:rPr>
          <w:rStyle w:val="A1"/>
          <w:rFonts w:ascii="Times New Roman" w:hAnsi="Times New Roman" w:cs="Times New Roman"/>
        </w:rPr>
        <w:t>larda da solid tümö</w:t>
      </w:r>
      <w:r w:rsidRPr="0019774B">
        <w:rPr>
          <w:rStyle w:val="A1"/>
          <w:rFonts w:ascii="Times New Roman" w:hAnsi="Times New Roman" w:cs="Times New Roman"/>
        </w:rPr>
        <w:t>r</w:t>
      </w:r>
      <w:r w:rsidRPr="0019774B">
        <w:rPr>
          <w:rStyle w:val="A1"/>
          <w:rFonts w:ascii="Times New Roman" w:hAnsi="Times New Roman" w:cs="Times New Roman"/>
        </w:rPr>
        <w:t>lü çocukların otolog HKHT’den yarar görebileceği düşünülmektedir;</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Germ hücreli tümörler: Relaps veya ilerleyici hastalık olan olgularda,</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Yumuşak doku sarkomları: Evre IV veya rezeke ed</w:t>
      </w:r>
      <w:r w:rsidRPr="0019774B">
        <w:rPr>
          <w:rStyle w:val="A1"/>
          <w:rFonts w:ascii="Times New Roman" w:hAnsi="Times New Roman" w:cs="Times New Roman"/>
        </w:rPr>
        <w:t>i</w:t>
      </w:r>
      <w:r w:rsidRPr="0019774B">
        <w:rPr>
          <w:rStyle w:val="A1"/>
          <w:rFonts w:ascii="Times New Roman" w:hAnsi="Times New Roman" w:cs="Times New Roman"/>
        </w:rPr>
        <w:t>lemeyen, relaps sonrası,</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Wilm’s tümörü: Yüksek risk histoloji veya relaps,</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 xml:space="preserve">Beyin Tümörleri: Lokalize nüks olan ve kemosensitif medullablastomlu veya yine kemoterapiye yanıtlı yüksek grade gliomalı çocuklarda. </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Tedavi ilişkili toksisite riskinin yüksek olması ned</w:t>
      </w:r>
      <w:r w:rsidRPr="0019774B">
        <w:rPr>
          <w:rStyle w:val="A1"/>
          <w:rFonts w:ascii="Times New Roman" w:hAnsi="Times New Roman" w:cs="Times New Roman"/>
        </w:rPr>
        <w:t>e</w:t>
      </w:r>
      <w:r>
        <w:rPr>
          <w:rStyle w:val="A1"/>
          <w:rFonts w:ascii="Times New Roman" w:hAnsi="Times New Roman" w:cs="Times New Roman"/>
        </w:rPr>
        <w:t>-</w:t>
      </w:r>
      <w:r w:rsidRPr="0019774B">
        <w:rPr>
          <w:rStyle w:val="A1"/>
          <w:rFonts w:ascii="Times New Roman" w:hAnsi="Times New Roman" w:cs="Times New Roman"/>
        </w:rPr>
        <w:t xml:space="preserve">niyle genellikle solid tümörlü çocuklarda allojenik HKHT rutin olarak önerilmemektedir.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Transplantasyon İlişkili Komplikasyonlar</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Hazırlayıcı rejimlerde kullanılan yüksek doz kemot</w:t>
      </w:r>
      <w:r w:rsidRPr="0019774B">
        <w:rPr>
          <w:rStyle w:val="A1"/>
          <w:rFonts w:ascii="Times New Roman" w:hAnsi="Times New Roman" w:cs="Times New Roman"/>
        </w:rPr>
        <w:t>e</w:t>
      </w:r>
      <w:r>
        <w:rPr>
          <w:rStyle w:val="A1"/>
          <w:rFonts w:ascii="Times New Roman" w:hAnsi="Times New Roman" w:cs="Times New Roman"/>
        </w:rPr>
        <w:t>-</w:t>
      </w:r>
      <w:r w:rsidRPr="0019774B">
        <w:rPr>
          <w:rStyle w:val="A1"/>
          <w:rFonts w:ascii="Times New Roman" w:hAnsi="Times New Roman" w:cs="Times New Roman"/>
        </w:rPr>
        <w:t>rapi ve/veya radyoterapi (TBI) alıcının tüm organlarını etkileyebilir ve değişik şiddette erken veya geç ikincil etkilere neden olabilir. Komplikasyon gelişmesinin bireysel yatkınlık, immunsupresif tedaviler, transplant öncesi tedavilerle ilişkili toksisiteler ve nakil sırasında eşlik eden diğer faktörlerin varlığı ile ilişkili olabildiği bilinmektedir. HKHT’nda asıl hedef altta yatan hast</w:t>
      </w:r>
      <w:r w:rsidRPr="0019774B">
        <w:rPr>
          <w:rStyle w:val="A1"/>
          <w:rFonts w:ascii="Times New Roman" w:hAnsi="Times New Roman" w:cs="Times New Roman"/>
        </w:rPr>
        <w:t>a</w:t>
      </w:r>
      <w:r w:rsidRPr="0019774B">
        <w:rPr>
          <w:rStyle w:val="A1"/>
          <w:rFonts w:ascii="Times New Roman" w:hAnsi="Times New Roman" w:cs="Times New Roman"/>
        </w:rPr>
        <w:t>lıkta kür sağlamak olmasına karşılık özellikle büy</w:t>
      </w:r>
      <w:r w:rsidRPr="0019774B">
        <w:rPr>
          <w:rStyle w:val="A1"/>
          <w:rFonts w:ascii="Times New Roman" w:hAnsi="Times New Roman" w:cs="Times New Roman"/>
        </w:rPr>
        <w:t>ü</w:t>
      </w:r>
      <w:r w:rsidRPr="0019774B">
        <w:rPr>
          <w:rStyle w:val="A1"/>
          <w:rFonts w:ascii="Times New Roman" w:hAnsi="Times New Roman" w:cs="Times New Roman"/>
        </w:rPr>
        <w:t>mesi devam eden çocukta komplikasyonların erken tanınması, tedavisi veya önlenmesi transplant başar</w:t>
      </w:r>
      <w:r w:rsidRPr="0019774B">
        <w:rPr>
          <w:rStyle w:val="A1"/>
          <w:rFonts w:ascii="Times New Roman" w:hAnsi="Times New Roman" w:cs="Times New Roman"/>
        </w:rPr>
        <w:t>ı</w:t>
      </w:r>
      <w:r w:rsidRPr="0019774B">
        <w:rPr>
          <w:rStyle w:val="A1"/>
          <w:rFonts w:ascii="Times New Roman" w:hAnsi="Times New Roman" w:cs="Times New Roman"/>
        </w:rPr>
        <w:t xml:space="preserve">sını etkileyen en önemli faktörlerdir.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Enfeksiyöz Komplikasyonlar</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Enfeksiyöz komplikasyonlar transplant ilişkili morbi</w:t>
      </w:r>
      <w:r>
        <w:rPr>
          <w:rStyle w:val="A1"/>
          <w:rFonts w:ascii="Times New Roman" w:hAnsi="Times New Roman" w:cs="Times New Roman"/>
        </w:rPr>
        <w:t>-</w:t>
      </w:r>
      <w:r w:rsidRPr="00933C92">
        <w:rPr>
          <w:rStyle w:val="A1"/>
          <w:rFonts w:ascii="Times New Roman" w:hAnsi="Times New Roman" w:cs="Times New Roman"/>
          <w:spacing w:val="-2"/>
        </w:rPr>
        <w:t>dite ve mortalitenin en önemli nedenlerindendir. GVHH</w:t>
      </w:r>
      <w:r w:rsidRPr="0019774B">
        <w:rPr>
          <w:rStyle w:val="A1"/>
          <w:rFonts w:ascii="Times New Roman" w:hAnsi="Times New Roman" w:cs="Times New Roman"/>
        </w:rPr>
        <w:t xml:space="preserve"> varlığı, gecikmiş immun rekonstitüsyon ve otolog nakile oranla allojenik nakil en önemli risk faktör</w:t>
      </w:r>
      <w:r>
        <w:rPr>
          <w:rStyle w:val="A1"/>
          <w:rFonts w:ascii="Times New Roman" w:hAnsi="Times New Roman" w:cs="Times New Roman"/>
        </w:rPr>
        <w:t>-</w:t>
      </w:r>
      <w:r w:rsidRPr="0019774B">
        <w:rPr>
          <w:rStyle w:val="A1"/>
          <w:rFonts w:ascii="Times New Roman" w:hAnsi="Times New Roman" w:cs="Times New Roman"/>
        </w:rPr>
        <w:t>ler</w:t>
      </w:r>
      <w:r w:rsidRPr="0019774B">
        <w:rPr>
          <w:rStyle w:val="A1"/>
          <w:rFonts w:ascii="Times New Roman" w:hAnsi="Times New Roman" w:cs="Times New Roman"/>
        </w:rPr>
        <w:t>i</w:t>
      </w:r>
      <w:r w:rsidRPr="0019774B">
        <w:rPr>
          <w:rStyle w:val="A1"/>
          <w:rFonts w:ascii="Times New Roman" w:hAnsi="Times New Roman" w:cs="Times New Roman"/>
        </w:rPr>
        <w:t>dir. Enfeksiyonlar, özellikle myeloablatif rejim kull</w:t>
      </w:r>
      <w:r w:rsidRPr="0019774B">
        <w:rPr>
          <w:rStyle w:val="A1"/>
          <w:rFonts w:ascii="Times New Roman" w:hAnsi="Times New Roman" w:cs="Times New Roman"/>
        </w:rPr>
        <w:t>a</w:t>
      </w:r>
      <w:r w:rsidRPr="0019774B">
        <w:rPr>
          <w:rStyle w:val="A1"/>
          <w:rFonts w:ascii="Times New Roman" w:hAnsi="Times New Roman" w:cs="Times New Roman"/>
        </w:rPr>
        <w:t>nılan allojenik transplantlarda, üç ayrı dönemde inc</w:t>
      </w:r>
      <w:r w:rsidRPr="0019774B">
        <w:rPr>
          <w:rStyle w:val="A1"/>
          <w:rFonts w:ascii="Times New Roman" w:hAnsi="Times New Roman" w:cs="Times New Roman"/>
        </w:rPr>
        <w:t>e</w:t>
      </w:r>
      <w:r w:rsidRPr="0019774B">
        <w:rPr>
          <w:rStyle w:val="A1"/>
          <w:rFonts w:ascii="Times New Roman" w:hAnsi="Times New Roman" w:cs="Times New Roman"/>
        </w:rPr>
        <w:t xml:space="preserve">lenebilir; </w:t>
      </w:r>
    </w:p>
    <w:p w:rsidR="00D46298" w:rsidRPr="0019774B" w:rsidRDefault="00D46298" w:rsidP="00D46298">
      <w:pPr>
        <w:pStyle w:val="Pa1"/>
        <w:spacing w:after="120" w:line="250" w:lineRule="auto"/>
        <w:ind w:left="252" w:hanging="252"/>
        <w:jc w:val="both"/>
        <w:rPr>
          <w:rFonts w:ascii="Times New Roman" w:hAnsi="Times New Roman" w:cs="Times New Roman"/>
          <w:color w:val="000000"/>
          <w:sz w:val="20"/>
          <w:szCs w:val="20"/>
        </w:rPr>
      </w:pPr>
      <w:r w:rsidRPr="0019774B">
        <w:rPr>
          <w:rStyle w:val="A1"/>
          <w:rFonts w:ascii="Times New Roman" w:hAnsi="Times New Roman" w:cs="Times New Roman"/>
        </w:rPr>
        <w:t>1.</w:t>
      </w:r>
      <w:r>
        <w:rPr>
          <w:rStyle w:val="A1"/>
          <w:rFonts w:ascii="Times New Roman" w:hAnsi="Times New Roman" w:cs="Times New Roman"/>
        </w:rPr>
        <w:tab/>
      </w:r>
      <w:r w:rsidRPr="0019774B">
        <w:rPr>
          <w:rStyle w:val="A1"/>
          <w:rFonts w:ascii="Times New Roman" w:hAnsi="Times New Roman" w:cs="Times New Roman"/>
        </w:rPr>
        <w:t>Engrafman öncesi dönem; Hazırlayıcı rejim ile başlar ve nötrofil sayısı normal sınırlara gelene dek devam eder. Hazırlayıcı rejimlerdeki sitotoksik ajanl</w:t>
      </w:r>
      <w:r w:rsidRPr="0019774B">
        <w:rPr>
          <w:rStyle w:val="A1"/>
          <w:rFonts w:ascii="Times New Roman" w:hAnsi="Times New Roman" w:cs="Times New Roman"/>
        </w:rPr>
        <w:t>a</w:t>
      </w:r>
      <w:r w:rsidRPr="0019774B">
        <w:rPr>
          <w:rStyle w:val="A1"/>
          <w:rFonts w:ascii="Times New Roman" w:hAnsi="Times New Roman" w:cs="Times New Roman"/>
        </w:rPr>
        <w:t>rın en fazla etkilediği hücreler, bölünme hızı yüksek hücre grupları, özellikle kemik iliği öncül hücreleri ve mukozal epitel hücreleridir. Bunun s</w:t>
      </w:r>
      <w:r w:rsidRPr="0019774B">
        <w:rPr>
          <w:rStyle w:val="A1"/>
          <w:rFonts w:ascii="Times New Roman" w:hAnsi="Times New Roman" w:cs="Times New Roman"/>
        </w:rPr>
        <w:t>o</w:t>
      </w:r>
      <w:r w:rsidRPr="0019774B">
        <w:rPr>
          <w:rStyle w:val="A1"/>
          <w:rFonts w:ascii="Times New Roman" w:hAnsi="Times New Roman" w:cs="Times New Roman"/>
        </w:rPr>
        <w:t>nucu olarak ağır ve uzamış nötropeni, ağır muko</w:t>
      </w:r>
      <w:r>
        <w:rPr>
          <w:rStyle w:val="A1"/>
          <w:rFonts w:ascii="Times New Roman" w:hAnsi="Times New Roman" w:cs="Times New Roman"/>
        </w:rPr>
        <w:t>-</w:t>
      </w:r>
      <w:r w:rsidRPr="0019774B">
        <w:rPr>
          <w:rStyle w:val="A1"/>
          <w:rFonts w:ascii="Times New Roman" w:hAnsi="Times New Roman" w:cs="Times New Roman"/>
        </w:rPr>
        <w:t>zitisler gelişir ve mukozal bariyerin bozulm</w:t>
      </w:r>
      <w:r w:rsidRPr="0019774B">
        <w:rPr>
          <w:rStyle w:val="A1"/>
          <w:rFonts w:ascii="Times New Roman" w:hAnsi="Times New Roman" w:cs="Times New Roman"/>
        </w:rPr>
        <w:t>a</w:t>
      </w:r>
      <w:r w:rsidRPr="0019774B">
        <w:rPr>
          <w:rStyle w:val="A1"/>
          <w:rFonts w:ascii="Times New Roman" w:hAnsi="Times New Roman" w:cs="Times New Roman"/>
        </w:rPr>
        <w:t>sı sonucu bakteriyemilere ortaya çıkabilir. En sık karşılaşılan patojenler strept</w:t>
      </w:r>
      <w:r w:rsidRPr="0019774B">
        <w:rPr>
          <w:rStyle w:val="A1"/>
          <w:rFonts w:ascii="Times New Roman" w:hAnsi="Times New Roman" w:cs="Times New Roman"/>
        </w:rPr>
        <w:t>o</w:t>
      </w:r>
      <w:r w:rsidRPr="0019774B">
        <w:rPr>
          <w:rStyle w:val="A1"/>
          <w:rFonts w:ascii="Times New Roman" w:hAnsi="Times New Roman" w:cs="Times New Roman"/>
        </w:rPr>
        <w:t xml:space="preserve">koklar, gram negatif bakteriler, candida türleri ve eğer nötropeni uzun sürerse aspergilloz türleridir. </w:t>
      </w:r>
    </w:p>
    <w:p w:rsidR="00D46298" w:rsidRPr="0019774B" w:rsidRDefault="00D46298" w:rsidP="00D46298">
      <w:pPr>
        <w:pStyle w:val="Pa4"/>
        <w:spacing w:after="120" w:line="250" w:lineRule="auto"/>
        <w:ind w:left="252" w:hanging="252"/>
        <w:jc w:val="both"/>
        <w:rPr>
          <w:rFonts w:ascii="Times New Roman" w:hAnsi="Times New Roman" w:cs="Times New Roman"/>
          <w:color w:val="000000"/>
          <w:sz w:val="20"/>
          <w:szCs w:val="20"/>
        </w:rPr>
      </w:pPr>
      <w:r w:rsidRPr="0019774B">
        <w:rPr>
          <w:rStyle w:val="A1"/>
          <w:rFonts w:ascii="Times New Roman" w:hAnsi="Times New Roman" w:cs="Times New Roman"/>
        </w:rPr>
        <w:t>2.</w:t>
      </w:r>
      <w:r>
        <w:rPr>
          <w:rStyle w:val="A1"/>
          <w:rFonts w:ascii="Times New Roman" w:hAnsi="Times New Roman" w:cs="Times New Roman"/>
        </w:rPr>
        <w:tab/>
      </w:r>
      <w:r w:rsidRPr="0019774B">
        <w:rPr>
          <w:rStyle w:val="A1"/>
          <w:rFonts w:ascii="Times New Roman" w:hAnsi="Times New Roman" w:cs="Times New Roman"/>
        </w:rPr>
        <w:t>Engrafman sonrası dönem; Nötrofil sayısının no</w:t>
      </w:r>
      <w:r w:rsidRPr="0019774B">
        <w:rPr>
          <w:rStyle w:val="A1"/>
          <w:rFonts w:ascii="Times New Roman" w:hAnsi="Times New Roman" w:cs="Times New Roman"/>
        </w:rPr>
        <w:t>r</w:t>
      </w:r>
      <w:r>
        <w:rPr>
          <w:rStyle w:val="A1"/>
          <w:rFonts w:ascii="Times New Roman" w:hAnsi="Times New Roman" w:cs="Times New Roman"/>
        </w:rPr>
        <w:t>-</w:t>
      </w:r>
      <w:r w:rsidRPr="0019774B">
        <w:rPr>
          <w:rStyle w:val="A1"/>
          <w:rFonts w:ascii="Times New Roman" w:hAnsi="Times New Roman" w:cs="Times New Roman"/>
        </w:rPr>
        <w:t>male gelmesi ile başlar. B ve T lenfosit sayısının düzelmesi yani yaklaşık posttransplant 100. güne dek devam eder. Bu dönemde hücresel ve humoral immun yetmezlik belirgindir. CMV enfeksiyonu riskinin en yüksek olduğu dönemdir. Seronegatif olgularda primer enfeksiyon veya seropozitif olg</w:t>
      </w:r>
      <w:r w:rsidRPr="0019774B">
        <w:rPr>
          <w:rStyle w:val="A1"/>
          <w:rFonts w:ascii="Times New Roman" w:hAnsi="Times New Roman" w:cs="Times New Roman"/>
        </w:rPr>
        <w:t>u</w:t>
      </w:r>
      <w:r>
        <w:rPr>
          <w:rStyle w:val="A1"/>
          <w:rFonts w:ascii="Times New Roman" w:hAnsi="Times New Roman" w:cs="Times New Roman"/>
        </w:rPr>
        <w:t>-</w:t>
      </w:r>
      <w:r w:rsidRPr="0019774B">
        <w:rPr>
          <w:rStyle w:val="A1"/>
          <w:rFonts w:ascii="Times New Roman" w:hAnsi="Times New Roman" w:cs="Times New Roman"/>
        </w:rPr>
        <w:t>larda reaktivasyon şeklinde gelişebilir. GVHH va</w:t>
      </w:r>
      <w:r w:rsidRPr="0019774B">
        <w:rPr>
          <w:rStyle w:val="A1"/>
          <w:rFonts w:ascii="Times New Roman" w:hAnsi="Times New Roman" w:cs="Times New Roman"/>
        </w:rPr>
        <w:t>r</w:t>
      </w:r>
      <w:r>
        <w:rPr>
          <w:rStyle w:val="A1"/>
          <w:rFonts w:ascii="Times New Roman" w:hAnsi="Times New Roman" w:cs="Times New Roman"/>
        </w:rPr>
        <w:t>-</w:t>
      </w:r>
      <w:r w:rsidRPr="0019774B">
        <w:rPr>
          <w:rStyle w:val="A1"/>
          <w:rFonts w:ascii="Times New Roman" w:hAnsi="Times New Roman" w:cs="Times New Roman"/>
        </w:rPr>
        <w:t>lığı ve şiddeti enfeksiyon açısından en önemli risk faktör</w:t>
      </w:r>
      <w:r w:rsidRPr="0019774B">
        <w:rPr>
          <w:rStyle w:val="A1"/>
          <w:rFonts w:ascii="Times New Roman" w:hAnsi="Times New Roman" w:cs="Times New Roman"/>
        </w:rPr>
        <w:t>ü</w:t>
      </w:r>
      <w:r w:rsidRPr="0019774B">
        <w:rPr>
          <w:rStyle w:val="A1"/>
          <w:rFonts w:ascii="Times New Roman" w:hAnsi="Times New Roman" w:cs="Times New Roman"/>
        </w:rPr>
        <w:t xml:space="preserve">dür. Bu dönemde özellikle GVHH olan ve/veya steroid tedavisi kullanılan olgular invaziv aspergilloz enfeksiyonları açısından da büyük risk taşır. </w:t>
      </w:r>
    </w:p>
    <w:p w:rsidR="00D46298" w:rsidRPr="0019774B" w:rsidRDefault="00D46298" w:rsidP="00D46298">
      <w:pPr>
        <w:pStyle w:val="Pa4"/>
        <w:spacing w:after="120" w:line="250" w:lineRule="auto"/>
        <w:ind w:left="252" w:hanging="252"/>
        <w:jc w:val="both"/>
        <w:rPr>
          <w:rFonts w:ascii="Times New Roman" w:hAnsi="Times New Roman" w:cs="Times New Roman"/>
          <w:color w:val="000000"/>
          <w:sz w:val="20"/>
          <w:szCs w:val="20"/>
        </w:rPr>
      </w:pPr>
      <w:r w:rsidRPr="0019774B">
        <w:rPr>
          <w:rStyle w:val="A1"/>
          <w:rFonts w:ascii="Times New Roman" w:hAnsi="Times New Roman" w:cs="Times New Roman"/>
        </w:rPr>
        <w:lastRenderedPageBreak/>
        <w:t>3.</w:t>
      </w:r>
      <w:r>
        <w:rPr>
          <w:rStyle w:val="A1"/>
          <w:rFonts w:ascii="Times New Roman" w:hAnsi="Times New Roman" w:cs="Times New Roman"/>
        </w:rPr>
        <w:tab/>
      </w:r>
      <w:r w:rsidRPr="0019774B">
        <w:rPr>
          <w:rStyle w:val="A1"/>
          <w:rFonts w:ascii="Times New Roman" w:hAnsi="Times New Roman" w:cs="Times New Roman"/>
        </w:rPr>
        <w:t>Geç post-transplant dönem; Nakil sonrası +100. günde başlar ve immunsupresif tedavi kesilene dek devam eder. Fonksiyonel hiposplenizm nedeniyle kapsüllü bakteriler özellikle de S. pnömoni en önemli patojendir. Aspergilloz, pnömosistitis jiro</w:t>
      </w:r>
      <w:r>
        <w:rPr>
          <w:rStyle w:val="A1"/>
          <w:rFonts w:ascii="Times New Roman" w:hAnsi="Times New Roman" w:cs="Times New Roman"/>
        </w:rPr>
        <w:t>-</w:t>
      </w:r>
      <w:r w:rsidRPr="0019774B">
        <w:rPr>
          <w:rStyle w:val="A1"/>
          <w:rFonts w:ascii="Times New Roman" w:hAnsi="Times New Roman" w:cs="Times New Roman"/>
        </w:rPr>
        <w:t>veci, çeşitli virüsler özellikle de respirator sinsityal veya parainfluenza virüsü gibi solunum yolu virüs</w:t>
      </w:r>
      <w:r>
        <w:rPr>
          <w:rStyle w:val="A1"/>
          <w:rFonts w:ascii="Times New Roman" w:hAnsi="Times New Roman" w:cs="Times New Roman"/>
        </w:rPr>
        <w:t>-</w:t>
      </w:r>
      <w:r w:rsidRPr="0019774B">
        <w:rPr>
          <w:rStyle w:val="A1"/>
          <w:rFonts w:ascii="Times New Roman" w:hAnsi="Times New Roman" w:cs="Times New Roman"/>
        </w:rPr>
        <w:t>leri ve varisella-zoster virüsü ağır enfe</w:t>
      </w:r>
      <w:r w:rsidRPr="0019774B">
        <w:rPr>
          <w:rStyle w:val="A1"/>
          <w:rFonts w:ascii="Times New Roman" w:hAnsi="Times New Roman" w:cs="Times New Roman"/>
        </w:rPr>
        <w:t>k</w:t>
      </w:r>
      <w:r w:rsidRPr="0019774B">
        <w:rPr>
          <w:rStyle w:val="A1"/>
          <w:rFonts w:ascii="Times New Roman" w:hAnsi="Times New Roman" w:cs="Times New Roman"/>
        </w:rPr>
        <w:t xml:space="preserve">siyonlara yol açabilir. </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Transplantasyonun her üç döneminde de enfeksi</w:t>
      </w:r>
      <w:r>
        <w:rPr>
          <w:rStyle w:val="A1"/>
          <w:rFonts w:ascii="Times New Roman" w:hAnsi="Times New Roman" w:cs="Times New Roman"/>
        </w:rPr>
        <w:t>-</w:t>
      </w:r>
      <w:r w:rsidRPr="0019774B">
        <w:rPr>
          <w:rStyle w:val="A1"/>
          <w:rFonts w:ascii="Times New Roman" w:hAnsi="Times New Roman" w:cs="Times New Roman"/>
        </w:rPr>
        <w:t>yo</w:t>
      </w:r>
      <w:r w:rsidRPr="0019774B">
        <w:rPr>
          <w:rStyle w:val="A1"/>
          <w:rFonts w:ascii="Times New Roman" w:hAnsi="Times New Roman" w:cs="Times New Roman"/>
        </w:rPr>
        <w:t>n</w:t>
      </w:r>
      <w:r w:rsidRPr="0019774B">
        <w:rPr>
          <w:rStyle w:val="A1"/>
          <w:rFonts w:ascii="Times New Roman" w:hAnsi="Times New Roman" w:cs="Times New Roman"/>
        </w:rPr>
        <w:t>dan korunma yöntemleri, aşılama ve farmakolojik yaklaşımların önerilen şekilde uygulanması enfeksi</w:t>
      </w:r>
      <w:r>
        <w:rPr>
          <w:rStyle w:val="A1"/>
          <w:rFonts w:ascii="Times New Roman" w:hAnsi="Times New Roman" w:cs="Times New Roman"/>
        </w:rPr>
        <w:t>-</w:t>
      </w:r>
      <w:r w:rsidRPr="0019774B">
        <w:rPr>
          <w:rStyle w:val="A1"/>
          <w:rFonts w:ascii="Times New Roman" w:hAnsi="Times New Roman" w:cs="Times New Roman"/>
        </w:rPr>
        <w:t xml:space="preserve">yoz komplikasyonların önlenmesi veya en azından azaltılması açısından önemlidir. </w:t>
      </w:r>
    </w:p>
    <w:p w:rsidR="00D46298" w:rsidRPr="0019774B" w:rsidRDefault="00D46298" w:rsidP="00D46298">
      <w:pPr>
        <w:pStyle w:val="Pa1"/>
        <w:spacing w:after="120" w:line="250" w:lineRule="auto"/>
        <w:jc w:val="both"/>
        <w:rPr>
          <w:rFonts w:ascii="Times New Roman" w:hAnsi="Times New Roman" w:cs="Times New Roman"/>
          <w:b/>
          <w:bCs/>
          <w:color w:val="000000"/>
          <w:sz w:val="20"/>
          <w:szCs w:val="20"/>
        </w:rPr>
      </w:pPr>
      <w:r w:rsidRPr="0019774B">
        <w:rPr>
          <w:rStyle w:val="A1"/>
          <w:rFonts w:ascii="Times New Roman" w:hAnsi="Times New Roman" w:cs="Times New Roman"/>
          <w:b/>
          <w:bCs/>
        </w:rPr>
        <w:t>Antibakteriyal profilaksi</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Genel profilaksi için kotrimaksazol, gastrointestinal dekontaminasyon için oral gentamisin, vankomisin, büyük çocu</w:t>
      </w:r>
      <w:r w:rsidRPr="0019774B">
        <w:rPr>
          <w:rStyle w:val="A1"/>
          <w:rFonts w:ascii="Times New Roman" w:hAnsi="Times New Roman" w:cs="Times New Roman"/>
        </w:rPr>
        <w:t>k</w:t>
      </w:r>
      <w:r w:rsidRPr="0019774B">
        <w:rPr>
          <w:rStyle w:val="A1"/>
          <w:rFonts w:ascii="Times New Roman" w:hAnsi="Times New Roman" w:cs="Times New Roman"/>
        </w:rPr>
        <w:t>larda kinolon türevleri kullanılmaktadır. Profilaksi genellikle kök hücre infüzyonu öncesi ba</w:t>
      </w:r>
      <w:r w:rsidRPr="0019774B">
        <w:rPr>
          <w:rStyle w:val="A1"/>
          <w:rFonts w:ascii="Times New Roman" w:hAnsi="Times New Roman" w:cs="Times New Roman"/>
        </w:rPr>
        <w:t>ş</w:t>
      </w:r>
      <w:r w:rsidRPr="0019774B">
        <w:rPr>
          <w:rStyle w:val="A1"/>
          <w:rFonts w:ascii="Times New Roman" w:hAnsi="Times New Roman" w:cs="Times New Roman"/>
        </w:rPr>
        <w:t xml:space="preserve">lar ve nötrofil düzelmesine kadar devam edilir. Ancak ağır kronik GVHH olan veya fonksiyonel asplenizmi nedeniyle S. pnömoni açısından risk taşıyan olgularda profilaksi süresi uzatılabilir. </w:t>
      </w:r>
    </w:p>
    <w:p w:rsidR="00D46298" w:rsidRPr="0019774B" w:rsidRDefault="00D46298" w:rsidP="00D46298">
      <w:pPr>
        <w:pStyle w:val="Pa1"/>
        <w:spacing w:after="120" w:line="250" w:lineRule="auto"/>
        <w:jc w:val="both"/>
        <w:rPr>
          <w:rStyle w:val="A1"/>
          <w:rFonts w:ascii="Times New Roman" w:hAnsi="Times New Roman" w:cs="Times New Roman"/>
          <w:b/>
          <w:bCs/>
        </w:rPr>
      </w:pPr>
      <w:r w:rsidRPr="0019774B">
        <w:rPr>
          <w:rStyle w:val="A1"/>
          <w:rFonts w:ascii="Times New Roman" w:hAnsi="Times New Roman" w:cs="Times New Roman"/>
          <w:b/>
          <w:bCs/>
        </w:rPr>
        <w:t>Antifungal profilaksi</w:t>
      </w:r>
    </w:p>
    <w:p w:rsidR="00D46298" w:rsidRPr="0019774B" w:rsidRDefault="00D46298" w:rsidP="00D46298">
      <w:pPr>
        <w:pStyle w:val="Pa1"/>
        <w:spacing w:after="200" w:line="250" w:lineRule="auto"/>
        <w:jc w:val="both"/>
        <w:rPr>
          <w:rFonts w:ascii="Times New Roman" w:hAnsi="Times New Roman" w:cs="Times New Roman"/>
          <w:color w:val="000000"/>
          <w:sz w:val="20"/>
          <w:szCs w:val="20"/>
        </w:rPr>
      </w:pPr>
      <w:r w:rsidRPr="0019774B">
        <w:rPr>
          <w:rStyle w:val="A1"/>
          <w:rFonts w:ascii="Times New Roman" w:hAnsi="Times New Roman" w:cs="Times New Roman"/>
        </w:rPr>
        <w:t>Engrafman öncesi dönemde nötropeni, ağır mukozit ve santral venöz kateter varlığı invazif candidiazis riskini belirgin arttıran risk faktörleridir. Engrafman sonrası dönemde de, ka</w:t>
      </w:r>
      <w:r w:rsidRPr="0019774B">
        <w:rPr>
          <w:rStyle w:val="A1"/>
          <w:rFonts w:ascii="Times New Roman" w:hAnsi="Times New Roman" w:cs="Times New Roman"/>
        </w:rPr>
        <w:softHyphen/>
        <w:t>teter kullanımına devam edilir veya ağır gastrointestinal GVHH gelişir ise risk aynı oranda devam eder. Genel olarak allojenik HKHT sonrası +90. güne kadar ve GVHH varl</w:t>
      </w:r>
      <w:r w:rsidRPr="0019774B">
        <w:rPr>
          <w:rStyle w:val="A1"/>
          <w:rFonts w:ascii="Times New Roman" w:hAnsi="Times New Roman" w:cs="Times New Roman"/>
        </w:rPr>
        <w:t>ı</w:t>
      </w:r>
      <w:r w:rsidRPr="0019774B">
        <w:rPr>
          <w:rStyle w:val="A1"/>
          <w:rFonts w:ascii="Times New Roman" w:hAnsi="Times New Roman" w:cs="Times New Roman"/>
        </w:rPr>
        <w:t>ğında immun</w:t>
      </w:r>
      <w:r>
        <w:rPr>
          <w:rStyle w:val="A1"/>
          <w:rFonts w:ascii="Times New Roman" w:hAnsi="Times New Roman" w:cs="Times New Roman"/>
        </w:rPr>
        <w:t>-</w:t>
      </w:r>
      <w:r w:rsidRPr="0019774B">
        <w:rPr>
          <w:rStyle w:val="A1"/>
          <w:rFonts w:ascii="Times New Roman" w:hAnsi="Times New Roman" w:cs="Times New Roman"/>
        </w:rPr>
        <w:t>supresif tedavi boyunca antifungal profilaksi verilmesi önerilmektedir. Flukanazol en sıklıkla kull</w:t>
      </w:r>
      <w:r w:rsidRPr="0019774B">
        <w:rPr>
          <w:rStyle w:val="A1"/>
          <w:rFonts w:ascii="Times New Roman" w:hAnsi="Times New Roman" w:cs="Times New Roman"/>
        </w:rPr>
        <w:t>a</w:t>
      </w:r>
      <w:r w:rsidRPr="0019774B">
        <w:rPr>
          <w:rStyle w:val="A1"/>
          <w:rFonts w:ascii="Times New Roman" w:hAnsi="Times New Roman" w:cs="Times New Roman"/>
        </w:rPr>
        <w:t>nılan ajandır. Ağır hücresel immün yetmezliği olan olgular küf mantarları açısından riskli kabul edilmeli ve risk dönemi boyunca küf mantarlarına etkili olduğu bilinen ilaçlarla profilaksi uygulanmalıdır. Flukanazolun küf mantarları üzerine etkisi yoktur. Antiküf etkisi olan antifungal profilaksi düşünülüyor ise vorikanazol veya posakanazol tercih edilmelidir. Nakil öncesinde inva</w:t>
      </w:r>
      <w:r>
        <w:rPr>
          <w:rStyle w:val="A1"/>
          <w:rFonts w:ascii="Times New Roman" w:hAnsi="Times New Roman" w:cs="Times New Roman"/>
        </w:rPr>
        <w:t>-</w:t>
      </w:r>
      <w:r w:rsidRPr="0019774B">
        <w:rPr>
          <w:rStyle w:val="A1"/>
          <w:rFonts w:ascii="Times New Roman" w:hAnsi="Times New Roman" w:cs="Times New Roman"/>
        </w:rPr>
        <w:t>zif aspergilloz öyküsü olan olg</w:t>
      </w:r>
      <w:r w:rsidRPr="0019774B">
        <w:rPr>
          <w:rStyle w:val="A1"/>
          <w:rFonts w:ascii="Times New Roman" w:hAnsi="Times New Roman" w:cs="Times New Roman"/>
        </w:rPr>
        <w:t>u</w:t>
      </w:r>
      <w:r w:rsidRPr="0019774B">
        <w:rPr>
          <w:rStyle w:val="A1"/>
          <w:rFonts w:ascii="Times New Roman" w:hAnsi="Times New Roman" w:cs="Times New Roman"/>
        </w:rPr>
        <w:t>larda HKHT sürecinde antiküf etkisi bulunan ajanlar (Vorikanazol) ile sekonder profilaksi yapılması öner</w:t>
      </w:r>
      <w:r w:rsidRPr="0019774B">
        <w:rPr>
          <w:rStyle w:val="A1"/>
          <w:rFonts w:ascii="Times New Roman" w:hAnsi="Times New Roman" w:cs="Times New Roman"/>
        </w:rPr>
        <w:t>i</w:t>
      </w:r>
      <w:r w:rsidRPr="0019774B">
        <w:rPr>
          <w:rStyle w:val="A1"/>
          <w:rFonts w:ascii="Times New Roman" w:hAnsi="Times New Roman" w:cs="Times New Roman"/>
        </w:rPr>
        <w:t xml:space="preserve">lir. </w:t>
      </w:r>
    </w:p>
    <w:p w:rsidR="00D46298" w:rsidRPr="0019774B" w:rsidRDefault="00D46298" w:rsidP="00D46298">
      <w:pPr>
        <w:pStyle w:val="Pa1"/>
        <w:spacing w:after="120" w:line="259" w:lineRule="auto"/>
        <w:jc w:val="both"/>
        <w:rPr>
          <w:rStyle w:val="A1"/>
          <w:rFonts w:ascii="Times New Roman" w:hAnsi="Times New Roman" w:cs="Times New Roman"/>
          <w:b/>
          <w:bCs/>
        </w:rPr>
      </w:pPr>
      <w:r w:rsidRPr="0019774B">
        <w:rPr>
          <w:rStyle w:val="A1"/>
          <w:rFonts w:ascii="Times New Roman" w:hAnsi="Times New Roman" w:cs="Times New Roman"/>
          <w:b/>
          <w:bCs/>
        </w:rPr>
        <w:t>Antiviral profilaksi</w:t>
      </w:r>
    </w:p>
    <w:p w:rsidR="00D46298" w:rsidRPr="0019774B" w:rsidRDefault="00D46298" w:rsidP="00D46298">
      <w:pPr>
        <w:pStyle w:val="Pa1"/>
        <w:spacing w:after="120" w:line="259" w:lineRule="auto"/>
        <w:jc w:val="both"/>
        <w:rPr>
          <w:rStyle w:val="A1"/>
          <w:rFonts w:ascii="Times New Roman" w:hAnsi="Times New Roman" w:cs="Times New Roman"/>
        </w:rPr>
      </w:pPr>
      <w:r w:rsidRPr="0019774B">
        <w:rPr>
          <w:rStyle w:val="A1"/>
          <w:rFonts w:ascii="Times New Roman" w:hAnsi="Times New Roman" w:cs="Times New Roman"/>
        </w:rPr>
        <w:t>Allo-HKHT alıcılarında erken CMV infeksiyonu riski posttransplant +100. güne kadar antiviral profilaksi uygulanır. Yüksek doz asiklovir, gansiklovir ve vala</w:t>
      </w:r>
      <w:r>
        <w:rPr>
          <w:rStyle w:val="A1"/>
          <w:rFonts w:ascii="Times New Roman" w:hAnsi="Times New Roman" w:cs="Times New Roman"/>
        </w:rPr>
        <w:t>-</w:t>
      </w:r>
      <w:r w:rsidRPr="0019774B">
        <w:rPr>
          <w:rStyle w:val="A1"/>
          <w:rFonts w:ascii="Times New Roman" w:hAnsi="Times New Roman" w:cs="Times New Roman"/>
        </w:rPr>
        <w:t>siklovirin bu amaçla kullanımda etkin olduğu değişik çalışmalarda gösteri</w:t>
      </w:r>
      <w:r w:rsidRPr="0019774B">
        <w:rPr>
          <w:rStyle w:val="A1"/>
          <w:rFonts w:ascii="Times New Roman" w:hAnsi="Times New Roman" w:cs="Times New Roman"/>
        </w:rPr>
        <w:t>l</w:t>
      </w:r>
      <w:r w:rsidRPr="0019774B">
        <w:rPr>
          <w:rStyle w:val="A1"/>
          <w:rFonts w:ascii="Times New Roman" w:hAnsi="Times New Roman" w:cs="Times New Roman"/>
        </w:rPr>
        <w:t>miştir. CMV hastalığında ilk tercih edilen ajan genellikle gansiklovirdir, ikinci basamak tedavide kullanı</w:t>
      </w:r>
      <w:r>
        <w:rPr>
          <w:rStyle w:val="A1"/>
          <w:rFonts w:ascii="Times New Roman" w:hAnsi="Times New Roman" w:cs="Times New Roman"/>
        </w:rPr>
        <w:t>lan foskarnet de en az gansiklo</w:t>
      </w:r>
      <w:r w:rsidRPr="0019774B">
        <w:rPr>
          <w:rStyle w:val="A1"/>
          <w:rFonts w:ascii="Times New Roman" w:hAnsi="Times New Roman" w:cs="Times New Roman"/>
        </w:rPr>
        <w:t xml:space="preserve">vir kadar etkilidir. </w:t>
      </w:r>
    </w:p>
    <w:p w:rsidR="00D46298" w:rsidRPr="0019774B" w:rsidRDefault="00D46298" w:rsidP="00D46298">
      <w:pPr>
        <w:pStyle w:val="Pa1"/>
        <w:spacing w:after="120" w:line="259" w:lineRule="auto"/>
        <w:jc w:val="both"/>
        <w:rPr>
          <w:rStyle w:val="A1"/>
          <w:rFonts w:ascii="Times New Roman" w:hAnsi="Times New Roman" w:cs="Times New Roman"/>
        </w:rPr>
      </w:pPr>
      <w:r w:rsidRPr="0019774B">
        <w:rPr>
          <w:rStyle w:val="A1"/>
          <w:rFonts w:ascii="Times New Roman" w:hAnsi="Times New Roman" w:cs="Times New Roman"/>
        </w:rPr>
        <w:t>Herpes simpleks virüsü açısından seropozitif olgulara -1 ile +90. günler arasında asik</w:t>
      </w:r>
      <w:r w:rsidRPr="0019774B">
        <w:rPr>
          <w:rStyle w:val="A1"/>
          <w:rFonts w:ascii="Times New Roman" w:hAnsi="Times New Roman" w:cs="Times New Roman"/>
        </w:rPr>
        <w:softHyphen/>
        <w:t xml:space="preserve">lovir ile profilaksi önerilmektedir. </w:t>
      </w:r>
    </w:p>
    <w:p w:rsidR="00D46298" w:rsidRPr="0019774B" w:rsidRDefault="00D46298" w:rsidP="00D46298">
      <w:pPr>
        <w:pStyle w:val="Pa1"/>
        <w:spacing w:after="120" w:line="259" w:lineRule="auto"/>
        <w:jc w:val="both"/>
        <w:rPr>
          <w:rFonts w:ascii="Times New Roman" w:hAnsi="Times New Roman" w:cs="Times New Roman"/>
          <w:color w:val="000000"/>
          <w:sz w:val="20"/>
          <w:szCs w:val="20"/>
        </w:rPr>
      </w:pPr>
      <w:r w:rsidRPr="0019774B">
        <w:rPr>
          <w:rStyle w:val="A1"/>
          <w:rFonts w:ascii="Times New Roman" w:hAnsi="Times New Roman" w:cs="Times New Roman"/>
          <w:b/>
          <w:bCs/>
        </w:rPr>
        <w:t>Graft versus host hastalığı</w:t>
      </w:r>
    </w:p>
    <w:p w:rsidR="00D46298" w:rsidRPr="0019774B" w:rsidRDefault="00D46298" w:rsidP="00D46298">
      <w:pPr>
        <w:pStyle w:val="Pa1"/>
        <w:spacing w:after="120" w:line="259" w:lineRule="auto"/>
        <w:jc w:val="both"/>
        <w:rPr>
          <w:rStyle w:val="A1"/>
          <w:rFonts w:ascii="Times New Roman" w:hAnsi="Times New Roman" w:cs="Times New Roman"/>
        </w:rPr>
      </w:pPr>
      <w:r w:rsidRPr="0019774B">
        <w:rPr>
          <w:rStyle w:val="A1"/>
          <w:rFonts w:ascii="Times New Roman" w:hAnsi="Times New Roman" w:cs="Times New Roman"/>
        </w:rPr>
        <w:t>GVHH allojenik HKHT’nun en önemli komplikasyo</w:t>
      </w:r>
      <w:r w:rsidRPr="0019774B">
        <w:rPr>
          <w:rStyle w:val="A1"/>
          <w:rFonts w:ascii="Times New Roman" w:hAnsi="Times New Roman" w:cs="Times New Roman"/>
        </w:rPr>
        <w:t>n</w:t>
      </w:r>
      <w:r>
        <w:rPr>
          <w:rStyle w:val="A1"/>
          <w:rFonts w:ascii="Times New Roman" w:hAnsi="Times New Roman" w:cs="Times New Roman"/>
        </w:rPr>
        <w:t>-</w:t>
      </w:r>
      <w:r w:rsidRPr="0019774B">
        <w:rPr>
          <w:rStyle w:val="A1"/>
          <w:rFonts w:ascii="Times New Roman" w:hAnsi="Times New Roman" w:cs="Times New Roman"/>
        </w:rPr>
        <w:t xml:space="preserve">larındandır. Pediatrik olgularda alternatif vericilerin kullanımı ile sıklığı artmıştır. </w:t>
      </w:r>
    </w:p>
    <w:p w:rsidR="00D46298" w:rsidRPr="0019774B" w:rsidRDefault="00D46298" w:rsidP="00D46298">
      <w:pPr>
        <w:pStyle w:val="Pa1"/>
        <w:spacing w:after="120" w:line="259" w:lineRule="auto"/>
        <w:jc w:val="both"/>
        <w:rPr>
          <w:rFonts w:ascii="Times New Roman" w:hAnsi="Times New Roman" w:cs="Times New Roman"/>
          <w:color w:val="000000"/>
          <w:sz w:val="20"/>
          <w:szCs w:val="20"/>
        </w:rPr>
      </w:pPr>
      <w:r w:rsidRPr="0019774B">
        <w:rPr>
          <w:rStyle w:val="A1"/>
          <w:rFonts w:ascii="Times New Roman" w:hAnsi="Times New Roman" w:cs="Times New Roman"/>
        </w:rPr>
        <w:t>GVHH en basit anlatımıyla verici T hücrelerinin alıcı antijenlerini yabancı tanıması sonucu oluşmaktadır. Akut (aGVHH) ve kronik (kGVHH) olmak üzere iki farklı grupta sınıflamak mümkündür. Akut ve kronik ayırımında gene</w:t>
      </w:r>
      <w:r w:rsidRPr="0019774B">
        <w:rPr>
          <w:rStyle w:val="A1"/>
          <w:rFonts w:ascii="Times New Roman" w:hAnsi="Times New Roman" w:cs="Times New Roman"/>
        </w:rPr>
        <w:t>l</w:t>
      </w:r>
      <w:r w:rsidRPr="0019774B">
        <w:rPr>
          <w:rStyle w:val="A1"/>
          <w:rFonts w:ascii="Times New Roman" w:hAnsi="Times New Roman" w:cs="Times New Roman"/>
        </w:rPr>
        <w:t>likle başlangıç zamanı kullanılmakta ve transplant sonrası +100. günden önce gelişenler akut, +100. günden sonra ba</w:t>
      </w:r>
      <w:r w:rsidRPr="0019774B">
        <w:rPr>
          <w:rStyle w:val="A1"/>
          <w:rFonts w:ascii="Times New Roman" w:hAnsi="Times New Roman" w:cs="Times New Roman"/>
        </w:rPr>
        <w:t>ş</w:t>
      </w:r>
      <w:r w:rsidRPr="0019774B">
        <w:rPr>
          <w:rStyle w:val="A1"/>
          <w:rFonts w:ascii="Times New Roman" w:hAnsi="Times New Roman" w:cs="Times New Roman"/>
        </w:rPr>
        <w:t xml:space="preserve">layanlar veya devam etmekte olanlar ise kronik olarak isimlendirilmektedir. </w:t>
      </w:r>
    </w:p>
    <w:p w:rsidR="00D46298" w:rsidRPr="0019774B" w:rsidRDefault="00D46298" w:rsidP="00D46298">
      <w:pPr>
        <w:pStyle w:val="Pa1"/>
        <w:spacing w:after="120" w:line="259" w:lineRule="auto"/>
        <w:jc w:val="both"/>
        <w:rPr>
          <w:rStyle w:val="A1"/>
          <w:rFonts w:ascii="Times New Roman" w:hAnsi="Times New Roman" w:cs="Times New Roman"/>
        </w:rPr>
      </w:pPr>
      <w:r w:rsidRPr="0019774B">
        <w:rPr>
          <w:rStyle w:val="A1"/>
          <w:rFonts w:ascii="Times New Roman" w:hAnsi="Times New Roman" w:cs="Times New Roman"/>
        </w:rPr>
        <w:t>GVHH profilaksisi, kalsinörin inhibitörlerinin [siklos</w:t>
      </w:r>
      <w:r>
        <w:rPr>
          <w:rStyle w:val="A1"/>
          <w:rFonts w:ascii="Times New Roman" w:hAnsi="Times New Roman" w:cs="Times New Roman"/>
        </w:rPr>
        <w:t>-porin A (CsA)</w:t>
      </w:r>
      <w:r w:rsidRPr="0019774B">
        <w:rPr>
          <w:rStyle w:val="A1"/>
          <w:rFonts w:ascii="Times New Roman" w:hAnsi="Times New Roman" w:cs="Times New Roman"/>
        </w:rPr>
        <w:t xml:space="preserve">] kısa süreli metotreksat (MTX) ve/veya MMF ile kombine edilerek yapılabilir. </w:t>
      </w:r>
    </w:p>
    <w:p w:rsidR="00D46298" w:rsidRPr="0019774B" w:rsidRDefault="00D46298" w:rsidP="00D46298">
      <w:pPr>
        <w:pStyle w:val="Pa1"/>
        <w:spacing w:after="120" w:line="259" w:lineRule="auto"/>
        <w:jc w:val="both"/>
        <w:rPr>
          <w:rFonts w:ascii="Times New Roman" w:hAnsi="Times New Roman" w:cs="Times New Roman"/>
          <w:color w:val="000000"/>
          <w:sz w:val="20"/>
          <w:szCs w:val="20"/>
        </w:rPr>
      </w:pPr>
      <w:r w:rsidRPr="0019774B">
        <w:rPr>
          <w:rStyle w:val="A1"/>
          <w:rFonts w:ascii="Times New Roman" w:hAnsi="Times New Roman" w:cs="Times New Roman"/>
        </w:rPr>
        <w:t xml:space="preserve">GVHH tedavisinde ilk seçenek profilakside kullanılan immunsupresyona devam edilmesi ve ek olarak metilprednizolon başlanmasıdır. </w:t>
      </w:r>
    </w:p>
    <w:p w:rsidR="00D46298" w:rsidRPr="0019774B" w:rsidRDefault="00D46298" w:rsidP="00D46298">
      <w:pPr>
        <w:pStyle w:val="Pa1"/>
        <w:spacing w:after="120" w:line="250" w:lineRule="auto"/>
        <w:rPr>
          <w:rFonts w:ascii="Times New Roman" w:hAnsi="Times New Roman" w:cs="Times New Roman"/>
          <w:color w:val="000000"/>
          <w:sz w:val="20"/>
          <w:szCs w:val="20"/>
        </w:rPr>
      </w:pPr>
      <w:r w:rsidRPr="0019774B">
        <w:rPr>
          <w:rStyle w:val="A1"/>
          <w:rFonts w:ascii="Times New Roman" w:hAnsi="Times New Roman" w:cs="Times New Roman"/>
          <w:b/>
          <w:bCs/>
        </w:rPr>
        <w:t xml:space="preserve">Gastrointestinal sistem ve karaciğer ilişkili </w:t>
      </w:r>
      <w:r>
        <w:rPr>
          <w:rStyle w:val="A1"/>
          <w:rFonts w:ascii="Times New Roman" w:hAnsi="Times New Roman" w:cs="Times New Roman"/>
          <w:b/>
          <w:bCs/>
        </w:rPr>
        <w:t xml:space="preserve">                </w:t>
      </w:r>
      <w:r w:rsidRPr="0019774B">
        <w:rPr>
          <w:rStyle w:val="A1"/>
          <w:rFonts w:ascii="Times New Roman" w:hAnsi="Times New Roman" w:cs="Times New Roman"/>
          <w:b/>
          <w:bCs/>
        </w:rPr>
        <w:t>kom</w:t>
      </w:r>
      <w:r w:rsidRPr="0019774B">
        <w:rPr>
          <w:rStyle w:val="A1"/>
          <w:rFonts w:ascii="Times New Roman" w:hAnsi="Times New Roman" w:cs="Times New Roman"/>
          <w:b/>
          <w:bCs/>
        </w:rPr>
        <w:t>p</w:t>
      </w:r>
      <w:r w:rsidRPr="0019774B">
        <w:rPr>
          <w:rStyle w:val="A1"/>
          <w:rFonts w:ascii="Times New Roman" w:hAnsi="Times New Roman" w:cs="Times New Roman"/>
          <w:b/>
          <w:bCs/>
        </w:rPr>
        <w:t>likasyonlar</w:t>
      </w:r>
    </w:p>
    <w:p w:rsidR="00D46298" w:rsidRPr="0019774B" w:rsidRDefault="00D46298" w:rsidP="00D46298">
      <w:pPr>
        <w:pStyle w:val="Pa1"/>
        <w:spacing w:after="120" w:line="250" w:lineRule="auto"/>
        <w:jc w:val="both"/>
        <w:rPr>
          <w:rStyle w:val="A1"/>
          <w:rFonts w:ascii="Times New Roman" w:hAnsi="Times New Roman" w:cs="Times New Roman"/>
        </w:rPr>
      </w:pPr>
      <w:r w:rsidRPr="0019774B">
        <w:rPr>
          <w:rStyle w:val="A1"/>
          <w:rFonts w:ascii="Times New Roman" w:hAnsi="Times New Roman" w:cs="Times New Roman"/>
        </w:rPr>
        <w:t xml:space="preserve">Gastrointestinal toksisite, alıcılarda en sık görülen hazırlayıcı rejime bağlı toksisitedir. Alkilleyici ajanlar, ağır mukozit ve ishal, bulantı kusma gibi istenmeyen etkilere neden olur. İlerleyici olursa özafajit, kolit, tiflit gibi daha ağır klinik bulgulara yol açabilir. </w:t>
      </w:r>
    </w:p>
    <w:p w:rsidR="00D46298" w:rsidRPr="00933C92" w:rsidRDefault="00D46298" w:rsidP="00D46298">
      <w:pPr>
        <w:pStyle w:val="Pa1"/>
        <w:spacing w:after="120" w:line="247" w:lineRule="auto"/>
        <w:jc w:val="both"/>
        <w:rPr>
          <w:rFonts w:ascii="Times New Roman" w:hAnsi="Times New Roman" w:cs="Times New Roman"/>
          <w:color w:val="000000"/>
          <w:spacing w:val="-2"/>
          <w:sz w:val="20"/>
          <w:szCs w:val="20"/>
        </w:rPr>
      </w:pPr>
      <w:r w:rsidRPr="00933C92">
        <w:rPr>
          <w:rStyle w:val="A1"/>
          <w:rFonts w:ascii="Times New Roman" w:hAnsi="Times New Roman" w:cs="Times New Roman"/>
          <w:spacing w:val="-2"/>
        </w:rPr>
        <w:t>HKHT alıcılarında oral beslenme özellikle önerilme</w:t>
      </w:r>
      <w:r w:rsidRPr="00933C92">
        <w:rPr>
          <w:rStyle w:val="A1"/>
          <w:rFonts w:ascii="Times New Roman" w:hAnsi="Times New Roman" w:cs="Times New Roman"/>
          <w:spacing w:val="-2"/>
        </w:rPr>
        <w:t>k</w:t>
      </w:r>
      <w:r w:rsidRPr="00933C92">
        <w:rPr>
          <w:rStyle w:val="A1"/>
          <w:rFonts w:ascii="Times New Roman" w:hAnsi="Times New Roman" w:cs="Times New Roman"/>
          <w:spacing w:val="-2"/>
        </w:rPr>
        <w:t>te</w:t>
      </w:r>
      <w:r>
        <w:rPr>
          <w:rStyle w:val="A1"/>
          <w:rFonts w:ascii="Times New Roman" w:hAnsi="Times New Roman" w:cs="Times New Roman"/>
          <w:spacing w:val="-2"/>
        </w:rPr>
        <w:t>-</w:t>
      </w:r>
      <w:r w:rsidRPr="00933C92">
        <w:rPr>
          <w:rStyle w:val="A1"/>
          <w:rFonts w:ascii="Times New Roman" w:hAnsi="Times New Roman" w:cs="Times New Roman"/>
          <w:spacing w:val="-2"/>
        </w:rPr>
        <w:t>dir. İştahsızlık, anoreksi ve belirgin kilo kaybı hali</w:t>
      </w:r>
      <w:r w:rsidRPr="00933C92">
        <w:rPr>
          <w:rStyle w:val="A1"/>
          <w:rFonts w:ascii="Times New Roman" w:hAnsi="Times New Roman" w:cs="Times New Roman"/>
          <w:spacing w:val="-2"/>
        </w:rPr>
        <w:t>n</w:t>
      </w:r>
      <w:r w:rsidRPr="00933C92">
        <w:rPr>
          <w:rStyle w:val="A1"/>
          <w:rFonts w:ascii="Times New Roman" w:hAnsi="Times New Roman" w:cs="Times New Roman"/>
          <w:spacing w:val="-2"/>
        </w:rPr>
        <w:t>de, olguların büyük çoğunluğunda enteral veya parenteral beslenme ihtiyacı vardır. Ağır gingivit, diş kökü anor</w:t>
      </w:r>
      <w:r>
        <w:rPr>
          <w:rStyle w:val="A1"/>
          <w:rFonts w:ascii="Times New Roman" w:hAnsi="Times New Roman" w:cs="Times New Roman"/>
          <w:spacing w:val="-2"/>
        </w:rPr>
        <w:t>-</w:t>
      </w:r>
      <w:r w:rsidRPr="00933C92">
        <w:rPr>
          <w:rStyle w:val="A1"/>
          <w:rFonts w:ascii="Times New Roman" w:hAnsi="Times New Roman" w:cs="Times New Roman"/>
          <w:spacing w:val="-2"/>
        </w:rPr>
        <w:t>mallikleri, her türlü diş ve diş eti bozuklu</w:t>
      </w:r>
      <w:r w:rsidRPr="00933C92">
        <w:rPr>
          <w:rStyle w:val="A1"/>
          <w:rFonts w:ascii="Times New Roman" w:hAnsi="Times New Roman" w:cs="Times New Roman"/>
          <w:spacing w:val="-2"/>
        </w:rPr>
        <w:t>k</w:t>
      </w:r>
      <w:r w:rsidRPr="00933C92">
        <w:rPr>
          <w:rStyle w:val="A1"/>
          <w:rFonts w:ascii="Times New Roman" w:hAnsi="Times New Roman" w:cs="Times New Roman"/>
          <w:spacing w:val="-2"/>
        </w:rPr>
        <w:t>ları görüle</w:t>
      </w:r>
      <w:r>
        <w:rPr>
          <w:rStyle w:val="A1"/>
          <w:rFonts w:ascii="Times New Roman" w:hAnsi="Times New Roman" w:cs="Times New Roman"/>
          <w:spacing w:val="-2"/>
        </w:rPr>
        <w:t>-</w:t>
      </w:r>
      <w:r w:rsidRPr="00933C92">
        <w:rPr>
          <w:rStyle w:val="A1"/>
          <w:rFonts w:ascii="Times New Roman" w:hAnsi="Times New Roman" w:cs="Times New Roman"/>
          <w:spacing w:val="-2"/>
        </w:rPr>
        <w:t>bilir ve transplant yaşı küçüldükçe görülme sıkl</w:t>
      </w:r>
      <w:r w:rsidRPr="00933C92">
        <w:rPr>
          <w:rStyle w:val="A1"/>
          <w:rFonts w:ascii="Times New Roman" w:hAnsi="Times New Roman" w:cs="Times New Roman"/>
          <w:spacing w:val="-2"/>
        </w:rPr>
        <w:t>ı</w:t>
      </w:r>
      <w:r w:rsidRPr="00933C92">
        <w:rPr>
          <w:rStyle w:val="A1"/>
          <w:rFonts w:ascii="Times New Roman" w:hAnsi="Times New Roman" w:cs="Times New Roman"/>
          <w:spacing w:val="-2"/>
        </w:rPr>
        <w:t>ğı artar. Özellikle TBI alan veya kGVHH gelişen olg</w:t>
      </w:r>
      <w:r w:rsidRPr="00933C92">
        <w:rPr>
          <w:rStyle w:val="A1"/>
          <w:rFonts w:ascii="Times New Roman" w:hAnsi="Times New Roman" w:cs="Times New Roman"/>
          <w:spacing w:val="-2"/>
        </w:rPr>
        <w:t>u</w:t>
      </w:r>
      <w:r w:rsidRPr="00933C92">
        <w:rPr>
          <w:rStyle w:val="A1"/>
          <w:rFonts w:ascii="Times New Roman" w:hAnsi="Times New Roman" w:cs="Times New Roman"/>
          <w:spacing w:val="-2"/>
        </w:rPr>
        <w:t>larda tükrük salınımındaki azalmaya bağlı olarak bu tür oral komplikasyonların sıklığı fazladır. Rady</w:t>
      </w:r>
      <w:r w:rsidRPr="00933C92">
        <w:rPr>
          <w:rStyle w:val="A1"/>
          <w:rFonts w:ascii="Times New Roman" w:hAnsi="Times New Roman" w:cs="Times New Roman"/>
          <w:spacing w:val="-2"/>
        </w:rPr>
        <w:t>o</w:t>
      </w:r>
      <w:r w:rsidRPr="00933C92">
        <w:rPr>
          <w:rStyle w:val="A1"/>
          <w:rFonts w:ascii="Times New Roman" w:hAnsi="Times New Roman" w:cs="Times New Roman"/>
          <w:spacing w:val="-2"/>
        </w:rPr>
        <w:t>terapinin tükrük bezlerinde yarattığı hasar kalıcı olab</w:t>
      </w:r>
      <w:r w:rsidRPr="00933C92">
        <w:rPr>
          <w:rStyle w:val="A1"/>
          <w:rFonts w:ascii="Times New Roman" w:hAnsi="Times New Roman" w:cs="Times New Roman"/>
          <w:spacing w:val="-2"/>
        </w:rPr>
        <w:t>i</w:t>
      </w:r>
      <w:r w:rsidRPr="00933C92">
        <w:rPr>
          <w:rStyle w:val="A1"/>
          <w:rFonts w:ascii="Times New Roman" w:hAnsi="Times New Roman" w:cs="Times New Roman"/>
          <w:spacing w:val="-2"/>
        </w:rPr>
        <w:t xml:space="preserve">lir. </w:t>
      </w:r>
    </w:p>
    <w:p w:rsidR="00D46298" w:rsidRPr="0019774B" w:rsidRDefault="00D46298" w:rsidP="00D46298">
      <w:pPr>
        <w:pStyle w:val="Pa1"/>
        <w:spacing w:after="120" w:line="247" w:lineRule="auto"/>
        <w:jc w:val="both"/>
        <w:rPr>
          <w:rStyle w:val="A1"/>
          <w:rFonts w:ascii="Times New Roman" w:hAnsi="Times New Roman" w:cs="Times New Roman"/>
        </w:rPr>
      </w:pPr>
      <w:r w:rsidRPr="0019774B">
        <w:rPr>
          <w:rStyle w:val="A1"/>
          <w:rFonts w:ascii="Times New Roman" w:hAnsi="Times New Roman" w:cs="Times New Roman"/>
        </w:rPr>
        <w:lastRenderedPageBreak/>
        <w:t>HKHT alıcılarında en sık etkilenen organlardan biri de karaciğerdir. Akut ve kronik GVHH, venooklüsif hastalık (VOH), çoklu transfüzyona bağlı demir aşırı yüklenmesi, viral hepatitlerin reaktivasyonu, kronik hepatit veya fırsatçı enfeksiyonlar HKHT sürecinde en sık görülen akut veya kronik karaciğer hastalıklarıdır. VOH, yeni adıyla sinozoidal obstrüksiyon sendromu (SOS), sarılık, ağrılı hepatomegali ve sıvı retansiyonu ile karakterize, genellikle nakli takiben ilk 20 gün içinde gelişen ancak bazı rejimlerde daha geç ve hatta çift başlangıçlı olarak izlenebilen bir komplikasyo</w:t>
      </w:r>
      <w:r w:rsidRPr="0019774B">
        <w:rPr>
          <w:rStyle w:val="A1"/>
          <w:rFonts w:ascii="Times New Roman" w:hAnsi="Times New Roman" w:cs="Times New Roman"/>
        </w:rPr>
        <w:t>n</w:t>
      </w:r>
      <w:r>
        <w:rPr>
          <w:rStyle w:val="A1"/>
          <w:rFonts w:ascii="Times New Roman" w:hAnsi="Times New Roman" w:cs="Times New Roman"/>
        </w:rPr>
        <w:t>-</w:t>
      </w:r>
      <w:r w:rsidRPr="0019774B">
        <w:rPr>
          <w:rStyle w:val="A1"/>
          <w:rFonts w:ascii="Times New Roman" w:hAnsi="Times New Roman" w:cs="Times New Roman"/>
        </w:rPr>
        <w:t>dur. Çocuklardaki indsidansı % 27-40 olarak bildiri</w:t>
      </w:r>
      <w:r w:rsidRPr="0019774B">
        <w:rPr>
          <w:rStyle w:val="A1"/>
          <w:rFonts w:ascii="Times New Roman" w:hAnsi="Times New Roman" w:cs="Times New Roman"/>
        </w:rPr>
        <w:t>l</w:t>
      </w:r>
      <w:r>
        <w:rPr>
          <w:rStyle w:val="A1"/>
          <w:rFonts w:ascii="Times New Roman" w:hAnsi="Times New Roman" w:cs="Times New Roman"/>
        </w:rPr>
        <w:t>-</w:t>
      </w:r>
      <w:r w:rsidRPr="0019774B">
        <w:rPr>
          <w:rStyle w:val="A1"/>
          <w:rFonts w:ascii="Times New Roman" w:hAnsi="Times New Roman" w:cs="Times New Roman"/>
        </w:rPr>
        <w:t>mektedir. Endotel hasarı, sinuzoidal fibrozis, mikro</w:t>
      </w:r>
      <w:r>
        <w:rPr>
          <w:rStyle w:val="A1"/>
          <w:rFonts w:ascii="Times New Roman" w:hAnsi="Times New Roman" w:cs="Times New Roman"/>
        </w:rPr>
        <w:t>-</w:t>
      </w:r>
      <w:r w:rsidRPr="0019774B">
        <w:rPr>
          <w:rStyle w:val="A1"/>
          <w:rFonts w:ascii="Times New Roman" w:hAnsi="Times New Roman" w:cs="Times New Roman"/>
        </w:rPr>
        <w:t>trombüs oluş</w:t>
      </w:r>
      <w:r w:rsidRPr="0019774B">
        <w:rPr>
          <w:rStyle w:val="A1"/>
          <w:rFonts w:ascii="Times New Roman" w:hAnsi="Times New Roman" w:cs="Times New Roman"/>
        </w:rPr>
        <w:t>u</w:t>
      </w:r>
      <w:r w:rsidRPr="0019774B">
        <w:rPr>
          <w:rStyle w:val="A1"/>
          <w:rFonts w:ascii="Times New Roman" w:hAnsi="Times New Roman" w:cs="Times New Roman"/>
        </w:rPr>
        <w:t>mu, fibrin depolanması patofizyolojide rol oynar ve hepatik nekroz ile sonuçlanabilir. Has</w:t>
      </w:r>
      <w:r>
        <w:rPr>
          <w:rStyle w:val="A1"/>
          <w:rFonts w:ascii="Times New Roman" w:hAnsi="Times New Roman" w:cs="Times New Roman"/>
        </w:rPr>
        <w:t>-</w:t>
      </w:r>
      <w:r w:rsidRPr="0019774B">
        <w:rPr>
          <w:rStyle w:val="A1"/>
          <w:rFonts w:ascii="Times New Roman" w:hAnsi="Times New Roman" w:cs="Times New Roman"/>
        </w:rPr>
        <w:t>t</w:t>
      </w:r>
      <w:r w:rsidRPr="0019774B">
        <w:rPr>
          <w:rStyle w:val="A1"/>
          <w:rFonts w:ascii="Times New Roman" w:hAnsi="Times New Roman" w:cs="Times New Roman"/>
        </w:rPr>
        <w:t>a</w:t>
      </w:r>
      <w:r w:rsidRPr="0019774B">
        <w:rPr>
          <w:rStyle w:val="A1"/>
          <w:rFonts w:ascii="Times New Roman" w:hAnsi="Times New Roman" w:cs="Times New Roman"/>
        </w:rPr>
        <w:t>nın 5 yaş altında olması, haploidentik veya akraba dışı vericiden transplant yapılması, altta yatan hastalı</w:t>
      </w:r>
      <w:r>
        <w:rPr>
          <w:rStyle w:val="A1"/>
          <w:rFonts w:ascii="Times New Roman" w:hAnsi="Times New Roman" w:cs="Times New Roman"/>
        </w:rPr>
        <w:t>-</w:t>
      </w:r>
      <w:r w:rsidRPr="0019774B">
        <w:rPr>
          <w:rStyle w:val="A1"/>
          <w:rFonts w:ascii="Times New Roman" w:hAnsi="Times New Roman" w:cs="Times New Roman"/>
        </w:rPr>
        <w:t>ğın osteopetrozis veya HLH olması, daha önce abdo</w:t>
      </w:r>
      <w:r>
        <w:rPr>
          <w:rStyle w:val="A1"/>
          <w:rFonts w:ascii="Times New Roman" w:hAnsi="Times New Roman" w:cs="Times New Roman"/>
        </w:rPr>
        <w:t>-</w:t>
      </w:r>
      <w:r w:rsidRPr="0019774B">
        <w:rPr>
          <w:rStyle w:val="A1"/>
          <w:rFonts w:ascii="Times New Roman" w:hAnsi="Times New Roman" w:cs="Times New Roman"/>
        </w:rPr>
        <w:t xml:space="preserve">minal </w:t>
      </w:r>
      <w:r w:rsidRPr="00933C92">
        <w:rPr>
          <w:rStyle w:val="A1"/>
          <w:rFonts w:ascii="Times New Roman" w:hAnsi="Times New Roman" w:cs="Times New Roman"/>
          <w:spacing w:val="-4"/>
        </w:rPr>
        <w:t>ışınlama uygulanması, hepatik siroz varlığı, mye</w:t>
      </w:r>
      <w:r>
        <w:rPr>
          <w:rStyle w:val="A1"/>
          <w:rFonts w:ascii="Times New Roman" w:hAnsi="Times New Roman" w:cs="Times New Roman"/>
          <w:spacing w:val="-4"/>
        </w:rPr>
        <w:t>-</w:t>
      </w:r>
      <w:r w:rsidRPr="00933C92">
        <w:rPr>
          <w:rStyle w:val="A1"/>
          <w:rFonts w:ascii="Times New Roman" w:hAnsi="Times New Roman" w:cs="Times New Roman"/>
          <w:spacing w:val="-4"/>
        </w:rPr>
        <w:t>loablatif</w:t>
      </w:r>
      <w:r w:rsidRPr="0019774B">
        <w:rPr>
          <w:rStyle w:val="A1"/>
          <w:rFonts w:ascii="Times New Roman" w:hAnsi="Times New Roman" w:cs="Times New Roman"/>
        </w:rPr>
        <w:t xml:space="preserve"> rejimle ikinci transplant yapılm</w:t>
      </w:r>
      <w:r w:rsidRPr="0019774B">
        <w:rPr>
          <w:rStyle w:val="A1"/>
          <w:rFonts w:ascii="Times New Roman" w:hAnsi="Times New Roman" w:cs="Times New Roman"/>
        </w:rPr>
        <w:t>a</w:t>
      </w:r>
      <w:r w:rsidRPr="0019774B">
        <w:rPr>
          <w:rStyle w:val="A1"/>
          <w:rFonts w:ascii="Times New Roman" w:hAnsi="Times New Roman" w:cs="Times New Roman"/>
        </w:rPr>
        <w:t>sı veya busulfan bazlı rejimlerin kullanılması tanıml</w:t>
      </w:r>
      <w:r w:rsidRPr="0019774B">
        <w:rPr>
          <w:rStyle w:val="A1"/>
          <w:rFonts w:ascii="Times New Roman" w:hAnsi="Times New Roman" w:cs="Times New Roman"/>
        </w:rPr>
        <w:t>a</w:t>
      </w:r>
      <w:r w:rsidRPr="0019774B">
        <w:rPr>
          <w:rStyle w:val="A1"/>
          <w:rFonts w:ascii="Times New Roman" w:hAnsi="Times New Roman" w:cs="Times New Roman"/>
        </w:rPr>
        <w:t xml:space="preserve">nan risk faktörleridir. </w:t>
      </w:r>
    </w:p>
    <w:p w:rsidR="00D46298" w:rsidRPr="0019774B" w:rsidRDefault="00D46298" w:rsidP="00D46298">
      <w:pPr>
        <w:pStyle w:val="Pa1"/>
        <w:spacing w:after="120" w:line="247" w:lineRule="auto"/>
        <w:jc w:val="both"/>
        <w:rPr>
          <w:rStyle w:val="A1"/>
          <w:rFonts w:ascii="Times New Roman" w:hAnsi="Times New Roman" w:cs="Times New Roman"/>
        </w:rPr>
      </w:pPr>
      <w:r w:rsidRPr="0019774B">
        <w:rPr>
          <w:rStyle w:val="A1"/>
          <w:rFonts w:ascii="Times New Roman" w:hAnsi="Times New Roman" w:cs="Times New Roman"/>
        </w:rPr>
        <w:t xml:space="preserve">Defibrotide ile hem tedavide hem de profilakside başarılı sonuçlar alınmaktadır. </w:t>
      </w:r>
    </w:p>
    <w:p w:rsidR="00D46298" w:rsidRPr="0019774B" w:rsidRDefault="00D46298" w:rsidP="00D46298">
      <w:pPr>
        <w:pStyle w:val="Pa1"/>
        <w:spacing w:after="120" w:line="247" w:lineRule="auto"/>
        <w:jc w:val="both"/>
        <w:rPr>
          <w:rStyle w:val="A1"/>
          <w:rFonts w:ascii="Times New Roman" w:hAnsi="Times New Roman" w:cs="Times New Roman"/>
        </w:rPr>
      </w:pPr>
      <w:r w:rsidRPr="0019774B">
        <w:rPr>
          <w:rStyle w:val="A1"/>
          <w:rFonts w:ascii="Times New Roman" w:hAnsi="Times New Roman" w:cs="Times New Roman"/>
        </w:rPr>
        <w:t>HKHT alıcılarında gastrointestinal ve karaciğer kGVHH sıklığı % 24 ve % 28 olarak bildirilmiştir. Disfaji, ağrı, kilo kaybı en sık görülen kGVHH ilişkili yakınmalar olup, mukozal eritem, likeniform hiperke</w:t>
      </w:r>
      <w:r>
        <w:rPr>
          <w:rStyle w:val="A1"/>
          <w:rFonts w:ascii="Times New Roman" w:hAnsi="Times New Roman" w:cs="Times New Roman"/>
        </w:rPr>
        <w:t>-</w:t>
      </w:r>
      <w:r w:rsidRPr="0019774B">
        <w:rPr>
          <w:rStyle w:val="A1"/>
          <w:rFonts w:ascii="Times New Roman" w:hAnsi="Times New Roman" w:cs="Times New Roman"/>
        </w:rPr>
        <w:t>ratoz, ağız içi ülserasyonlar, karaciğer enziml</w:t>
      </w:r>
      <w:r w:rsidRPr="0019774B">
        <w:rPr>
          <w:rStyle w:val="A1"/>
          <w:rFonts w:ascii="Times New Roman" w:hAnsi="Times New Roman" w:cs="Times New Roman"/>
        </w:rPr>
        <w:t>e</w:t>
      </w:r>
      <w:r w:rsidRPr="0019774B">
        <w:rPr>
          <w:rStyle w:val="A1"/>
          <w:rFonts w:ascii="Times New Roman" w:hAnsi="Times New Roman" w:cs="Times New Roman"/>
        </w:rPr>
        <w:t xml:space="preserve">ri ve bilirubinde artış sıklıkla saptanan bulgulardır. </w:t>
      </w:r>
    </w:p>
    <w:p w:rsidR="00D46298" w:rsidRPr="0019774B" w:rsidRDefault="00D46298" w:rsidP="00D46298">
      <w:pPr>
        <w:pStyle w:val="Pa1"/>
        <w:spacing w:after="120" w:line="247" w:lineRule="auto"/>
        <w:jc w:val="both"/>
        <w:rPr>
          <w:rStyle w:val="A1"/>
          <w:rFonts w:ascii="Times New Roman" w:hAnsi="Times New Roman" w:cs="Times New Roman"/>
          <w:b/>
          <w:bCs/>
        </w:rPr>
      </w:pPr>
      <w:r w:rsidRPr="0019774B">
        <w:rPr>
          <w:rStyle w:val="A1"/>
          <w:rFonts w:ascii="Times New Roman" w:hAnsi="Times New Roman" w:cs="Times New Roman"/>
          <w:b/>
          <w:bCs/>
        </w:rPr>
        <w:t>Pulmoner komplikasyonlar</w:t>
      </w:r>
    </w:p>
    <w:p w:rsidR="00D46298" w:rsidRPr="0019774B" w:rsidRDefault="00D46298" w:rsidP="00D46298">
      <w:pPr>
        <w:pStyle w:val="Pa1"/>
        <w:spacing w:after="120" w:line="247" w:lineRule="auto"/>
        <w:jc w:val="both"/>
        <w:rPr>
          <w:rStyle w:val="A1"/>
          <w:rFonts w:ascii="Times New Roman" w:hAnsi="Times New Roman" w:cs="Times New Roman"/>
        </w:rPr>
      </w:pPr>
      <w:r w:rsidRPr="0019774B">
        <w:rPr>
          <w:rStyle w:val="A1"/>
          <w:rFonts w:ascii="Times New Roman" w:hAnsi="Times New Roman" w:cs="Times New Roman"/>
        </w:rPr>
        <w:t xml:space="preserve">Pulmoner komplikasyonlar, pediatrik yaş grubunda daha nadir görülmekle birlikte, transplant ilişkili </w:t>
      </w:r>
      <w:r w:rsidRPr="00933C92">
        <w:rPr>
          <w:rStyle w:val="A1"/>
          <w:rFonts w:ascii="Times New Roman" w:hAnsi="Times New Roman" w:cs="Times New Roman"/>
          <w:spacing w:val="-4"/>
        </w:rPr>
        <w:t>mortalitenin önemli nedenlerindendir. Transplant so</w:t>
      </w:r>
      <w:r w:rsidRPr="00933C92">
        <w:rPr>
          <w:rStyle w:val="A1"/>
          <w:rFonts w:ascii="Times New Roman" w:hAnsi="Times New Roman" w:cs="Times New Roman"/>
          <w:spacing w:val="-4"/>
        </w:rPr>
        <w:t>n</w:t>
      </w:r>
      <w:r w:rsidRPr="00933C92">
        <w:rPr>
          <w:rStyle w:val="A1"/>
          <w:rFonts w:ascii="Times New Roman" w:hAnsi="Times New Roman" w:cs="Times New Roman"/>
          <w:spacing w:val="-4"/>
        </w:rPr>
        <w:t>rası</w:t>
      </w:r>
      <w:r w:rsidRPr="0019774B">
        <w:rPr>
          <w:rStyle w:val="A1"/>
          <w:rFonts w:ascii="Times New Roman" w:hAnsi="Times New Roman" w:cs="Times New Roman"/>
        </w:rPr>
        <w:t xml:space="preserve"> ilk 100 günde görülen erken komplikasyonlar arası</w:t>
      </w:r>
      <w:r w:rsidRPr="0019774B">
        <w:rPr>
          <w:rStyle w:val="A1"/>
          <w:rFonts w:ascii="Times New Roman" w:hAnsi="Times New Roman" w:cs="Times New Roman"/>
        </w:rPr>
        <w:t>n</w:t>
      </w:r>
      <w:r>
        <w:rPr>
          <w:rStyle w:val="A1"/>
          <w:rFonts w:ascii="Times New Roman" w:hAnsi="Times New Roman" w:cs="Times New Roman"/>
        </w:rPr>
        <w:t>-</w:t>
      </w:r>
      <w:r w:rsidRPr="0019774B">
        <w:rPr>
          <w:rStyle w:val="A1"/>
          <w:rFonts w:ascii="Times New Roman" w:hAnsi="Times New Roman" w:cs="Times New Roman"/>
        </w:rPr>
        <w:t>da, pulmoner ödem, bakteriyel, fungal ve viral enfe</w:t>
      </w:r>
      <w:r w:rsidRPr="0019774B">
        <w:rPr>
          <w:rStyle w:val="A1"/>
          <w:rFonts w:ascii="Times New Roman" w:hAnsi="Times New Roman" w:cs="Times New Roman"/>
        </w:rPr>
        <w:t>k</w:t>
      </w:r>
      <w:r>
        <w:rPr>
          <w:rStyle w:val="A1"/>
          <w:rFonts w:ascii="Times New Roman" w:hAnsi="Times New Roman" w:cs="Times New Roman"/>
        </w:rPr>
        <w:t>-</w:t>
      </w:r>
      <w:r w:rsidRPr="0019774B">
        <w:rPr>
          <w:rStyle w:val="A1"/>
          <w:rFonts w:ascii="Times New Roman" w:hAnsi="Times New Roman" w:cs="Times New Roman"/>
        </w:rPr>
        <w:t xml:space="preserve">siyonlar, idiopatik pnömoni sendromu (IPS) ve diffüz alveolar hemoraji (DAH) sayılabilir. Bronkoalveolar lavaj (BAL) örneğinin enfeksiyon olmaksızın kanlı olması tanıyı destekler niteliktedir. Tedavide yüksek doz metil prednizolon en yararlı seçenektir. </w:t>
      </w:r>
    </w:p>
    <w:p w:rsidR="00D46298" w:rsidRPr="0019774B" w:rsidRDefault="00D46298" w:rsidP="00D46298">
      <w:pPr>
        <w:pStyle w:val="Pa1"/>
        <w:spacing w:after="200" w:line="254" w:lineRule="auto"/>
        <w:jc w:val="both"/>
        <w:rPr>
          <w:rStyle w:val="A1"/>
          <w:rFonts w:ascii="Times New Roman" w:hAnsi="Times New Roman" w:cs="Times New Roman"/>
        </w:rPr>
      </w:pPr>
      <w:r w:rsidRPr="0019774B">
        <w:rPr>
          <w:rStyle w:val="A1"/>
          <w:rFonts w:ascii="Times New Roman" w:hAnsi="Times New Roman" w:cs="Times New Roman"/>
        </w:rPr>
        <w:t xml:space="preserve">Geç dönem enfeksiyon dışı pulmoner komplikasyonlar restriktif veya obstrüktif tipte olabilir. Bronşiolit </w:t>
      </w:r>
      <w:r w:rsidRPr="00933C92">
        <w:rPr>
          <w:rStyle w:val="A1"/>
          <w:rFonts w:ascii="Times New Roman" w:hAnsi="Times New Roman" w:cs="Times New Roman"/>
          <w:spacing w:val="-2"/>
        </w:rPr>
        <w:t>obliterans (BO), bronşiolit obliterans organize pnömoni</w:t>
      </w:r>
      <w:r w:rsidRPr="0019774B">
        <w:rPr>
          <w:rStyle w:val="A1"/>
          <w:rFonts w:ascii="Times New Roman" w:hAnsi="Times New Roman" w:cs="Times New Roman"/>
        </w:rPr>
        <w:t xml:space="preserve"> (BOOP), idiyopatik pnömoni sendromu (IPS) bu grupta sayılabilir. </w:t>
      </w:r>
    </w:p>
    <w:p w:rsidR="00D46298" w:rsidRPr="0019774B" w:rsidRDefault="00D46298" w:rsidP="00D46298">
      <w:pPr>
        <w:pStyle w:val="Pa1"/>
        <w:spacing w:after="120" w:line="254" w:lineRule="auto"/>
        <w:jc w:val="both"/>
        <w:rPr>
          <w:rStyle w:val="A1"/>
          <w:rFonts w:ascii="Times New Roman" w:hAnsi="Times New Roman" w:cs="Times New Roman"/>
          <w:b/>
          <w:bCs/>
        </w:rPr>
      </w:pPr>
      <w:r w:rsidRPr="0019774B">
        <w:rPr>
          <w:rStyle w:val="A1"/>
          <w:rFonts w:ascii="Times New Roman" w:hAnsi="Times New Roman" w:cs="Times New Roman"/>
          <w:b/>
          <w:bCs/>
        </w:rPr>
        <w:t>Renal komplikasyonlar</w:t>
      </w:r>
    </w:p>
    <w:p w:rsidR="00D46298" w:rsidRPr="0019774B" w:rsidRDefault="00D46298" w:rsidP="00D46298">
      <w:pPr>
        <w:pStyle w:val="Pa1"/>
        <w:spacing w:after="120" w:line="254" w:lineRule="auto"/>
        <w:jc w:val="both"/>
        <w:rPr>
          <w:rStyle w:val="A1"/>
          <w:rFonts w:ascii="Times New Roman" w:hAnsi="Times New Roman" w:cs="Times New Roman"/>
        </w:rPr>
      </w:pPr>
      <w:r w:rsidRPr="0019774B">
        <w:rPr>
          <w:rStyle w:val="A1"/>
          <w:rFonts w:ascii="Times New Roman" w:hAnsi="Times New Roman" w:cs="Times New Roman"/>
        </w:rPr>
        <w:t xml:space="preserve">HKHT alıcılarında nefrotoksisite genellikle birçok nedene bağlıdır. Kullanılan ilaçlar, sepsis, venooklusif hastalık, ve GVHH, renal yetmezlik gelişimi açısından risk yaratmaktadır. Pediatrik olgularda akut böbrek yetmezliği insidansı % 25 ile % 50 arasında bildirilmiş olup, bunların % 5-10’u renal replasman tedavileri gerektirmektedir. </w:t>
      </w:r>
    </w:p>
    <w:p w:rsidR="00D46298" w:rsidRPr="0019774B" w:rsidRDefault="00D46298" w:rsidP="00D46298">
      <w:pPr>
        <w:pStyle w:val="Pa1"/>
        <w:spacing w:after="120" w:line="254" w:lineRule="auto"/>
        <w:jc w:val="both"/>
        <w:rPr>
          <w:rFonts w:ascii="Times New Roman" w:hAnsi="Times New Roman" w:cs="Times New Roman"/>
          <w:color w:val="000000"/>
          <w:sz w:val="20"/>
          <w:szCs w:val="20"/>
        </w:rPr>
      </w:pPr>
      <w:r w:rsidRPr="0019774B">
        <w:rPr>
          <w:rStyle w:val="A1"/>
          <w:rFonts w:ascii="Times New Roman" w:hAnsi="Times New Roman" w:cs="Times New Roman"/>
        </w:rPr>
        <w:t>Transplantasyon sonrası görülebilecek komplikasyo</w:t>
      </w:r>
      <w:r w:rsidRPr="0019774B">
        <w:rPr>
          <w:rStyle w:val="A1"/>
          <w:rFonts w:ascii="Times New Roman" w:hAnsi="Times New Roman" w:cs="Times New Roman"/>
        </w:rPr>
        <w:t>n</w:t>
      </w:r>
      <w:r>
        <w:rPr>
          <w:rStyle w:val="A1"/>
          <w:rFonts w:ascii="Times New Roman" w:hAnsi="Times New Roman" w:cs="Times New Roman"/>
        </w:rPr>
        <w:t>-</w:t>
      </w:r>
      <w:r w:rsidRPr="0019774B">
        <w:rPr>
          <w:rStyle w:val="A1"/>
          <w:rFonts w:ascii="Times New Roman" w:hAnsi="Times New Roman" w:cs="Times New Roman"/>
        </w:rPr>
        <w:t>lardan bir diğeri, hemen her zaman renal tutulumun eşlik ettiği, anemi, trombositopeni, ateş ve/veya nör</w:t>
      </w:r>
      <w:r w:rsidRPr="0019774B">
        <w:rPr>
          <w:rStyle w:val="A1"/>
          <w:rFonts w:ascii="Times New Roman" w:hAnsi="Times New Roman" w:cs="Times New Roman"/>
        </w:rPr>
        <w:t>o</w:t>
      </w:r>
      <w:r>
        <w:rPr>
          <w:rStyle w:val="A1"/>
          <w:rFonts w:ascii="Times New Roman" w:hAnsi="Times New Roman" w:cs="Times New Roman"/>
        </w:rPr>
        <w:t>-</w:t>
      </w:r>
      <w:r w:rsidRPr="0019774B">
        <w:rPr>
          <w:rStyle w:val="A1"/>
          <w:rFonts w:ascii="Times New Roman" w:hAnsi="Times New Roman" w:cs="Times New Roman"/>
        </w:rPr>
        <w:t>lojik bozukluklarla karakterize olan trombotik mikro</w:t>
      </w:r>
      <w:r>
        <w:rPr>
          <w:rStyle w:val="A1"/>
          <w:rFonts w:ascii="Times New Roman" w:hAnsi="Times New Roman" w:cs="Times New Roman"/>
        </w:rPr>
        <w:t>-</w:t>
      </w:r>
      <w:r w:rsidRPr="0019774B">
        <w:rPr>
          <w:rStyle w:val="A1"/>
          <w:rFonts w:ascii="Times New Roman" w:hAnsi="Times New Roman" w:cs="Times New Roman"/>
        </w:rPr>
        <w:t>anjiopati (TAM)’dir. TAM, genellikle +60 gün civ</w:t>
      </w:r>
      <w:r w:rsidRPr="0019774B">
        <w:rPr>
          <w:rStyle w:val="A1"/>
          <w:rFonts w:ascii="Times New Roman" w:hAnsi="Times New Roman" w:cs="Times New Roman"/>
        </w:rPr>
        <w:t>a</w:t>
      </w:r>
      <w:r>
        <w:rPr>
          <w:rStyle w:val="A1"/>
          <w:rFonts w:ascii="Times New Roman" w:hAnsi="Times New Roman" w:cs="Times New Roman"/>
        </w:rPr>
        <w:t>-</w:t>
      </w:r>
      <w:r w:rsidRPr="0019774B">
        <w:rPr>
          <w:rStyle w:val="A1"/>
          <w:rFonts w:ascii="Times New Roman" w:hAnsi="Times New Roman" w:cs="Times New Roman"/>
        </w:rPr>
        <w:t>rında gelişir. Hazırlayıcı rejimle birlikte diğer faktörler yaygın endotel hasarına ve beraberinde mikro dol</w:t>
      </w:r>
      <w:r w:rsidRPr="0019774B">
        <w:rPr>
          <w:rStyle w:val="A1"/>
          <w:rFonts w:ascii="Times New Roman" w:hAnsi="Times New Roman" w:cs="Times New Roman"/>
        </w:rPr>
        <w:t>a</w:t>
      </w:r>
      <w:r>
        <w:rPr>
          <w:rStyle w:val="A1"/>
          <w:rFonts w:ascii="Times New Roman" w:hAnsi="Times New Roman" w:cs="Times New Roman"/>
        </w:rPr>
        <w:t>-</w:t>
      </w:r>
      <w:r w:rsidRPr="0019774B">
        <w:rPr>
          <w:rStyle w:val="A1"/>
          <w:rFonts w:ascii="Times New Roman" w:hAnsi="Times New Roman" w:cs="Times New Roman"/>
        </w:rPr>
        <w:t>şımda trombüs oluşumuna neden olan intravasküler trombosit aktivasyonuna neden olmakt</w:t>
      </w:r>
      <w:r w:rsidRPr="0019774B">
        <w:rPr>
          <w:rStyle w:val="A1"/>
          <w:rFonts w:ascii="Times New Roman" w:hAnsi="Times New Roman" w:cs="Times New Roman"/>
        </w:rPr>
        <w:t>a</w:t>
      </w:r>
      <w:r w:rsidRPr="0019774B">
        <w:rPr>
          <w:rStyle w:val="A1"/>
          <w:rFonts w:ascii="Times New Roman" w:hAnsi="Times New Roman" w:cs="Times New Roman"/>
        </w:rPr>
        <w:t xml:space="preserve">dır. Tedavide immünsupresiflerin kesilmesi ve destek tedavileri önerilmektedir. </w:t>
      </w:r>
    </w:p>
    <w:p w:rsidR="00D46298" w:rsidRPr="00933C92" w:rsidRDefault="00D46298" w:rsidP="00D46298">
      <w:pPr>
        <w:pStyle w:val="Pa1"/>
        <w:spacing w:after="120" w:line="254" w:lineRule="auto"/>
        <w:jc w:val="both"/>
        <w:rPr>
          <w:rFonts w:ascii="Times New Roman" w:hAnsi="Times New Roman" w:cs="Times New Roman"/>
          <w:color w:val="000000"/>
          <w:spacing w:val="-2"/>
          <w:sz w:val="20"/>
          <w:szCs w:val="20"/>
        </w:rPr>
      </w:pPr>
      <w:r w:rsidRPr="00933C92">
        <w:rPr>
          <w:rStyle w:val="A1"/>
          <w:rFonts w:ascii="Times New Roman" w:hAnsi="Times New Roman" w:cs="Times New Roman"/>
          <w:spacing w:val="-2"/>
        </w:rPr>
        <w:t>HKHT sonrası önemli morbidite ve hatta mortalite nedenlerinden biri de hemorajik sistittir (HS).</w:t>
      </w:r>
      <w:r>
        <w:rPr>
          <w:rStyle w:val="A1"/>
          <w:rFonts w:ascii="Times New Roman" w:hAnsi="Times New Roman" w:cs="Times New Roman"/>
          <w:spacing w:val="-2"/>
        </w:rPr>
        <w:t xml:space="preserve"> İnsidans</w:t>
      </w:r>
      <w:r w:rsidRPr="00933C92">
        <w:rPr>
          <w:rStyle w:val="A1"/>
          <w:rFonts w:ascii="Times New Roman" w:hAnsi="Times New Roman" w:cs="Times New Roman"/>
          <w:spacing w:val="-2"/>
        </w:rPr>
        <w:t xml:space="preserve"> % 1 ile % 25 arasında değiş</w:t>
      </w:r>
      <w:r>
        <w:rPr>
          <w:rStyle w:val="A1"/>
          <w:rFonts w:ascii="Times New Roman" w:hAnsi="Times New Roman" w:cs="Times New Roman"/>
          <w:spacing w:val="-2"/>
        </w:rPr>
        <w:t>mektedir</w:t>
      </w:r>
      <w:r w:rsidRPr="00933C92">
        <w:rPr>
          <w:rStyle w:val="A1"/>
          <w:rFonts w:ascii="Times New Roman" w:hAnsi="Times New Roman" w:cs="Times New Roman"/>
          <w:spacing w:val="-2"/>
        </w:rPr>
        <w:t>. Tran</w:t>
      </w:r>
      <w:r w:rsidRPr="00933C92">
        <w:rPr>
          <w:rStyle w:val="A1"/>
          <w:rFonts w:ascii="Times New Roman" w:hAnsi="Times New Roman" w:cs="Times New Roman"/>
          <w:spacing w:val="-2"/>
        </w:rPr>
        <w:t>s</w:t>
      </w:r>
      <w:r w:rsidRPr="00933C92">
        <w:rPr>
          <w:rStyle w:val="A1"/>
          <w:rFonts w:ascii="Times New Roman" w:hAnsi="Times New Roman" w:cs="Times New Roman"/>
          <w:spacing w:val="-2"/>
        </w:rPr>
        <w:t>plantasyon sonrası erken (ilk 72 saat) veya geç dönemde (1. aydan sonra) gelişebilir. Hazırlayıcı rej</w:t>
      </w:r>
      <w:r w:rsidRPr="00933C92">
        <w:rPr>
          <w:rStyle w:val="A1"/>
          <w:rFonts w:ascii="Times New Roman" w:hAnsi="Times New Roman" w:cs="Times New Roman"/>
          <w:spacing w:val="-2"/>
        </w:rPr>
        <w:t>i</w:t>
      </w:r>
      <w:r w:rsidRPr="00933C92">
        <w:rPr>
          <w:rStyle w:val="A1"/>
          <w:rFonts w:ascii="Times New Roman" w:hAnsi="Times New Roman" w:cs="Times New Roman"/>
          <w:spacing w:val="-2"/>
        </w:rPr>
        <w:t>min üroepitel üzerine doğrudan toksik etkisi neden olabil</w:t>
      </w:r>
      <w:r w:rsidRPr="00933C92">
        <w:rPr>
          <w:rStyle w:val="A1"/>
          <w:rFonts w:ascii="Times New Roman" w:hAnsi="Times New Roman" w:cs="Times New Roman"/>
          <w:spacing w:val="-2"/>
        </w:rPr>
        <w:t>e</w:t>
      </w:r>
      <w:r w:rsidRPr="00933C92">
        <w:rPr>
          <w:rStyle w:val="A1"/>
          <w:rFonts w:ascii="Times New Roman" w:hAnsi="Times New Roman" w:cs="Times New Roman"/>
          <w:spacing w:val="-2"/>
        </w:rPr>
        <w:t>ceği gibi, insan polyomavirüs tip BK veya JC, adenovirüs veya CMV gibi viral ajanlar da sorumlu tutulmaktadır. Hiperhid</w:t>
      </w:r>
      <w:r>
        <w:rPr>
          <w:rStyle w:val="A1"/>
          <w:rFonts w:ascii="Times New Roman" w:hAnsi="Times New Roman" w:cs="Times New Roman"/>
          <w:spacing w:val="-2"/>
        </w:rPr>
        <w:t>-</w:t>
      </w:r>
      <w:r w:rsidRPr="00933C92">
        <w:rPr>
          <w:rStyle w:val="A1"/>
          <w:rFonts w:ascii="Times New Roman" w:hAnsi="Times New Roman" w:cs="Times New Roman"/>
          <w:spacing w:val="-2"/>
        </w:rPr>
        <w:t xml:space="preserve">rasyon ve mesna gibi ajanların kullanımı etkin önleyici yaklaşımlardır. </w:t>
      </w:r>
    </w:p>
    <w:p w:rsidR="00D46298" w:rsidRPr="0019774B" w:rsidRDefault="00D46298" w:rsidP="00D46298">
      <w:pPr>
        <w:pStyle w:val="Pa1"/>
        <w:spacing w:after="120" w:line="254" w:lineRule="auto"/>
        <w:jc w:val="both"/>
        <w:rPr>
          <w:rStyle w:val="A1"/>
          <w:rFonts w:ascii="Times New Roman" w:hAnsi="Times New Roman" w:cs="Times New Roman"/>
          <w:b/>
          <w:bCs/>
        </w:rPr>
      </w:pPr>
      <w:r w:rsidRPr="0019774B">
        <w:rPr>
          <w:rStyle w:val="A1"/>
          <w:rFonts w:ascii="Times New Roman" w:hAnsi="Times New Roman" w:cs="Times New Roman"/>
          <w:b/>
          <w:bCs/>
        </w:rPr>
        <w:t>Kardiyak komplikasyonlar</w:t>
      </w:r>
    </w:p>
    <w:p w:rsidR="00D46298" w:rsidRPr="00933C92" w:rsidRDefault="00D46298" w:rsidP="00D46298">
      <w:pPr>
        <w:pStyle w:val="Pa1"/>
        <w:spacing w:after="120" w:line="254" w:lineRule="auto"/>
        <w:jc w:val="both"/>
        <w:rPr>
          <w:rStyle w:val="A1"/>
          <w:rFonts w:ascii="Times New Roman" w:hAnsi="Times New Roman" w:cs="Times New Roman"/>
          <w:spacing w:val="-2"/>
        </w:rPr>
      </w:pPr>
      <w:r w:rsidRPr="00933C92">
        <w:rPr>
          <w:rStyle w:val="A1"/>
          <w:rFonts w:ascii="Times New Roman" w:hAnsi="Times New Roman" w:cs="Times New Roman"/>
          <w:spacing w:val="-2"/>
        </w:rPr>
        <w:t>Transplantasyon ilişkili kardiyotoksisite hem başla</w:t>
      </w:r>
      <w:r w:rsidRPr="00933C92">
        <w:rPr>
          <w:rStyle w:val="A1"/>
          <w:rFonts w:ascii="Times New Roman" w:hAnsi="Times New Roman" w:cs="Times New Roman"/>
          <w:spacing w:val="-2"/>
        </w:rPr>
        <w:t>n</w:t>
      </w:r>
      <w:r w:rsidRPr="00933C92">
        <w:rPr>
          <w:rStyle w:val="A1"/>
          <w:rFonts w:ascii="Times New Roman" w:hAnsi="Times New Roman" w:cs="Times New Roman"/>
          <w:spacing w:val="-2"/>
        </w:rPr>
        <w:t>gıç zamanı hem de bulgular açısından çeşitlilik göst</w:t>
      </w:r>
      <w:r w:rsidRPr="00933C92">
        <w:rPr>
          <w:rStyle w:val="A1"/>
          <w:rFonts w:ascii="Times New Roman" w:hAnsi="Times New Roman" w:cs="Times New Roman"/>
          <w:spacing w:val="-2"/>
        </w:rPr>
        <w:t>e</w:t>
      </w:r>
      <w:r w:rsidRPr="00933C92">
        <w:rPr>
          <w:rStyle w:val="A1"/>
          <w:rFonts w:ascii="Times New Roman" w:hAnsi="Times New Roman" w:cs="Times New Roman"/>
          <w:spacing w:val="-2"/>
        </w:rPr>
        <w:t>rebilir. Olguların çoğunda transplantasyon sırasında veya h</w:t>
      </w:r>
      <w:r w:rsidRPr="00933C92">
        <w:rPr>
          <w:rStyle w:val="A1"/>
          <w:rFonts w:ascii="Times New Roman" w:hAnsi="Times New Roman" w:cs="Times New Roman"/>
          <w:spacing w:val="-2"/>
        </w:rPr>
        <w:t>e</w:t>
      </w:r>
      <w:r w:rsidRPr="00933C92">
        <w:rPr>
          <w:rStyle w:val="A1"/>
          <w:rFonts w:ascii="Times New Roman" w:hAnsi="Times New Roman" w:cs="Times New Roman"/>
          <w:spacing w:val="-2"/>
        </w:rPr>
        <w:t xml:space="preserve">men sonrasında kardiyak işlev bozukluğu gelişmekte ve </w:t>
      </w:r>
      <w:r>
        <w:rPr>
          <w:rStyle w:val="A1"/>
          <w:rFonts w:ascii="Times New Roman" w:hAnsi="Times New Roman" w:cs="Times New Roman"/>
          <w:spacing w:val="-2"/>
        </w:rPr>
        <w:t xml:space="preserve">çoğu </w:t>
      </w:r>
      <w:r w:rsidRPr="00933C92">
        <w:rPr>
          <w:rStyle w:val="A1"/>
          <w:rFonts w:ascii="Times New Roman" w:hAnsi="Times New Roman" w:cs="Times New Roman"/>
          <w:spacing w:val="-2"/>
        </w:rPr>
        <w:t>asemptomatik % 50’sinde</w:t>
      </w:r>
      <w:r>
        <w:rPr>
          <w:rStyle w:val="A1"/>
          <w:rFonts w:ascii="Times New Roman" w:hAnsi="Times New Roman" w:cs="Times New Roman"/>
          <w:spacing w:val="-2"/>
        </w:rPr>
        <w:t xml:space="preserve"> olan olgular</w:t>
      </w:r>
      <w:r w:rsidRPr="00933C92">
        <w:rPr>
          <w:rStyle w:val="A1"/>
          <w:rFonts w:ascii="Times New Roman" w:hAnsi="Times New Roman" w:cs="Times New Roman"/>
          <w:spacing w:val="-2"/>
        </w:rPr>
        <w:t xml:space="preserve"> kalıcı olmaktadır. Olgularda ventrikül işlev bozukluğu, iletim bozuklukları, perikardiyal veya damarsal ano</w:t>
      </w:r>
      <w:r w:rsidRPr="00933C92">
        <w:rPr>
          <w:rStyle w:val="A1"/>
          <w:rFonts w:ascii="Times New Roman" w:hAnsi="Times New Roman" w:cs="Times New Roman"/>
          <w:spacing w:val="-2"/>
        </w:rPr>
        <w:t>r</w:t>
      </w:r>
      <w:r w:rsidRPr="00933C92">
        <w:rPr>
          <w:rStyle w:val="A1"/>
          <w:rFonts w:ascii="Times New Roman" w:hAnsi="Times New Roman" w:cs="Times New Roman"/>
          <w:spacing w:val="-2"/>
        </w:rPr>
        <w:t xml:space="preserve">mallikler gibi farklı kardiyak hasarlanmalara ait değişik klinik bulgular görülebilir. </w:t>
      </w:r>
    </w:p>
    <w:p w:rsidR="00D46298" w:rsidRPr="0019774B" w:rsidRDefault="00D46298" w:rsidP="00D46298">
      <w:pPr>
        <w:pStyle w:val="Pa1"/>
        <w:spacing w:after="120" w:line="254" w:lineRule="auto"/>
        <w:jc w:val="both"/>
        <w:rPr>
          <w:rStyle w:val="A1"/>
          <w:rFonts w:ascii="Times New Roman" w:hAnsi="Times New Roman" w:cs="Times New Roman"/>
          <w:b/>
          <w:bCs/>
        </w:rPr>
      </w:pPr>
      <w:r w:rsidRPr="0019774B">
        <w:rPr>
          <w:rStyle w:val="A1"/>
          <w:rFonts w:ascii="Times New Roman" w:hAnsi="Times New Roman" w:cs="Times New Roman"/>
          <w:b/>
          <w:bCs/>
        </w:rPr>
        <w:t>Endokrinolojik geç komplikasyonlar</w:t>
      </w:r>
    </w:p>
    <w:p w:rsidR="00D46298" w:rsidRPr="0019774B" w:rsidRDefault="00D46298" w:rsidP="00D46298">
      <w:pPr>
        <w:pStyle w:val="Pa1"/>
        <w:spacing w:after="200" w:line="254" w:lineRule="auto"/>
        <w:jc w:val="both"/>
        <w:rPr>
          <w:rStyle w:val="A1"/>
          <w:rFonts w:ascii="Times New Roman" w:hAnsi="Times New Roman" w:cs="Times New Roman"/>
        </w:rPr>
      </w:pPr>
      <w:r w:rsidRPr="0019774B">
        <w:rPr>
          <w:rStyle w:val="A1"/>
          <w:rFonts w:ascii="Times New Roman" w:hAnsi="Times New Roman" w:cs="Times New Roman"/>
        </w:rPr>
        <w:t>HKHT sonrası yaşam sürelerinin uzaması ile özellikle geç dönem endokrin komplikasyonlar önem kazan</w:t>
      </w:r>
      <w:r>
        <w:rPr>
          <w:rStyle w:val="A1"/>
          <w:rFonts w:ascii="Times New Roman" w:hAnsi="Times New Roman" w:cs="Times New Roman"/>
        </w:rPr>
        <w:t>-</w:t>
      </w:r>
      <w:r w:rsidRPr="0019774B">
        <w:rPr>
          <w:rStyle w:val="A1"/>
          <w:rFonts w:ascii="Times New Roman" w:hAnsi="Times New Roman" w:cs="Times New Roman"/>
        </w:rPr>
        <w:t>mı</w:t>
      </w:r>
      <w:r w:rsidRPr="0019774B">
        <w:rPr>
          <w:rStyle w:val="A1"/>
          <w:rFonts w:ascii="Times New Roman" w:hAnsi="Times New Roman" w:cs="Times New Roman"/>
        </w:rPr>
        <w:t>ş</w:t>
      </w:r>
      <w:r w:rsidRPr="0019774B">
        <w:rPr>
          <w:rStyle w:val="A1"/>
          <w:rFonts w:ascii="Times New Roman" w:hAnsi="Times New Roman" w:cs="Times New Roman"/>
        </w:rPr>
        <w:t>tır. Transplant olgularında tiroid işlev bozuklukları sıkça gelişmekte olup, en sık kompanse hipotiroidi olarak karşımıza çıkmaktadır. Olguların % 15’inde belirgin hipotiroidi geliştiği bildirilmiştir. Tiroid işlev bozukluğu kemoterapi, rady</w:t>
      </w:r>
      <w:r w:rsidRPr="0019774B">
        <w:rPr>
          <w:rStyle w:val="A1"/>
          <w:rFonts w:ascii="Times New Roman" w:hAnsi="Times New Roman" w:cs="Times New Roman"/>
        </w:rPr>
        <w:t>o</w:t>
      </w:r>
      <w:r w:rsidRPr="0019774B">
        <w:rPr>
          <w:rStyle w:val="A1"/>
          <w:rFonts w:ascii="Times New Roman" w:hAnsi="Times New Roman" w:cs="Times New Roman"/>
        </w:rPr>
        <w:t>terapi veya kGVHH’na bağlı gelişebilmekle beraber, en önemli risk faktörü radyoterapidir. Diğer önemli bir endokrinolojik pro</w:t>
      </w:r>
      <w:r w:rsidRPr="0019774B">
        <w:rPr>
          <w:rStyle w:val="A1"/>
          <w:rFonts w:ascii="Times New Roman" w:hAnsi="Times New Roman" w:cs="Times New Roman"/>
        </w:rPr>
        <w:t>b</w:t>
      </w:r>
      <w:r>
        <w:rPr>
          <w:rStyle w:val="A1"/>
          <w:rFonts w:ascii="Times New Roman" w:hAnsi="Times New Roman" w:cs="Times New Roman"/>
        </w:rPr>
        <w:t>-</w:t>
      </w:r>
      <w:r w:rsidRPr="0019774B">
        <w:rPr>
          <w:rStyle w:val="A1"/>
          <w:rFonts w:ascii="Times New Roman" w:hAnsi="Times New Roman" w:cs="Times New Roman"/>
        </w:rPr>
        <w:t>lem, steroid kullanımına bağlı gelişen adrenal yetme</w:t>
      </w:r>
      <w:r w:rsidRPr="0019774B">
        <w:rPr>
          <w:rStyle w:val="A1"/>
          <w:rFonts w:ascii="Times New Roman" w:hAnsi="Times New Roman" w:cs="Times New Roman"/>
        </w:rPr>
        <w:t>z</w:t>
      </w:r>
      <w:r>
        <w:rPr>
          <w:rStyle w:val="A1"/>
          <w:rFonts w:ascii="Times New Roman" w:hAnsi="Times New Roman" w:cs="Times New Roman"/>
        </w:rPr>
        <w:t>-</w:t>
      </w:r>
      <w:r w:rsidRPr="0019774B">
        <w:rPr>
          <w:rStyle w:val="A1"/>
          <w:rFonts w:ascii="Times New Roman" w:hAnsi="Times New Roman" w:cs="Times New Roman"/>
        </w:rPr>
        <w:t>liktir. Testiküler veya ovaryan yetmezlikler genellikle hazırlayıcı rejime ikincil olarak gelişmektedir. On yaşından büyük kız çocukların hemen tümünde, 10 yaş altı olguların yaklaşık yarısında genel kullanılan TBI dozları ile ovaryan yetmezlik gelişmektedir. Hazırlayıcı rejimde busulfan kull</w:t>
      </w:r>
      <w:r w:rsidRPr="0019774B">
        <w:rPr>
          <w:rStyle w:val="A1"/>
          <w:rFonts w:ascii="Times New Roman" w:hAnsi="Times New Roman" w:cs="Times New Roman"/>
        </w:rPr>
        <w:t>a</w:t>
      </w:r>
      <w:r w:rsidRPr="0019774B">
        <w:rPr>
          <w:rStyle w:val="A1"/>
          <w:rFonts w:ascii="Times New Roman" w:hAnsi="Times New Roman" w:cs="Times New Roman"/>
        </w:rPr>
        <w:t xml:space="preserve">nımı ise hemen tüm olgularda ovaryan yetmezliğe neden </w:t>
      </w:r>
      <w:r w:rsidRPr="0019774B">
        <w:rPr>
          <w:rStyle w:val="A1"/>
          <w:rFonts w:ascii="Times New Roman" w:hAnsi="Times New Roman" w:cs="Times New Roman"/>
        </w:rPr>
        <w:lastRenderedPageBreak/>
        <w:t>olmaktadır. Olg</w:t>
      </w:r>
      <w:r w:rsidRPr="0019774B">
        <w:rPr>
          <w:rStyle w:val="A1"/>
          <w:rFonts w:ascii="Times New Roman" w:hAnsi="Times New Roman" w:cs="Times New Roman"/>
        </w:rPr>
        <w:t>u</w:t>
      </w:r>
      <w:r w:rsidRPr="0019774B">
        <w:rPr>
          <w:rStyle w:val="A1"/>
          <w:rFonts w:ascii="Times New Roman" w:hAnsi="Times New Roman" w:cs="Times New Roman"/>
        </w:rPr>
        <w:t>ların çoğunda hipergonadotropik hipogonadism geli</w:t>
      </w:r>
      <w:r w:rsidRPr="0019774B">
        <w:rPr>
          <w:rStyle w:val="A1"/>
          <w:rFonts w:ascii="Times New Roman" w:hAnsi="Times New Roman" w:cs="Times New Roman"/>
        </w:rPr>
        <w:t>ş</w:t>
      </w:r>
      <w:r w:rsidRPr="0019774B">
        <w:rPr>
          <w:rStyle w:val="A1"/>
          <w:rFonts w:ascii="Times New Roman" w:hAnsi="Times New Roman" w:cs="Times New Roman"/>
        </w:rPr>
        <w:t>mekte ve kalıcı olmaktadır. Ovaryan yetmezliği gel</w:t>
      </w:r>
      <w:r w:rsidRPr="0019774B">
        <w:rPr>
          <w:rStyle w:val="A1"/>
          <w:rFonts w:ascii="Times New Roman" w:hAnsi="Times New Roman" w:cs="Times New Roman"/>
        </w:rPr>
        <w:t>i</w:t>
      </w:r>
      <w:r w:rsidRPr="0019774B">
        <w:rPr>
          <w:rStyle w:val="A1"/>
          <w:rFonts w:ascii="Times New Roman" w:hAnsi="Times New Roman" w:cs="Times New Roman"/>
        </w:rPr>
        <w:t xml:space="preserve">şen olgularda estrojen ve progestin ile seks hormon replasmanı yapılabilir. Fertilite açısından seksüel maturasyonu olan erkek olgularda hazırlayıcı rejim öncesi sperm saklanabilir. </w:t>
      </w:r>
    </w:p>
    <w:p w:rsidR="00D46298" w:rsidRPr="0019774B" w:rsidRDefault="00D46298" w:rsidP="00D46298">
      <w:pPr>
        <w:pStyle w:val="Pa1"/>
        <w:spacing w:after="120" w:line="250" w:lineRule="auto"/>
        <w:jc w:val="both"/>
        <w:rPr>
          <w:rFonts w:ascii="Times New Roman" w:hAnsi="Times New Roman" w:cs="Times New Roman"/>
          <w:color w:val="000000"/>
          <w:sz w:val="20"/>
          <w:szCs w:val="20"/>
        </w:rPr>
      </w:pPr>
      <w:r>
        <w:rPr>
          <w:rStyle w:val="A1"/>
          <w:rFonts w:ascii="Times New Roman" w:hAnsi="Times New Roman" w:cs="Times New Roman"/>
          <w:b/>
          <w:bCs/>
        </w:rPr>
        <w:t>İ</w:t>
      </w:r>
      <w:r w:rsidRPr="0019774B">
        <w:rPr>
          <w:rStyle w:val="A1"/>
          <w:rFonts w:ascii="Times New Roman" w:hAnsi="Times New Roman" w:cs="Times New Roman"/>
          <w:b/>
          <w:bCs/>
        </w:rPr>
        <w:t>kincil kanserler</w:t>
      </w:r>
    </w:p>
    <w:p w:rsidR="00D46298" w:rsidRPr="0019774B" w:rsidRDefault="00D46298" w:rsidP="00D46298">
      <w:pPr>
        <w:pStyle w:val="Pa1"/>
        <w:spacing w:after="120" w:line="254" w:lineRule="auto"/>
        <w:jc w:val="both"/>
        <w:rPr>
          <w:rFonts w:ascii="Times New Roman" w:hAnsi="Times New Roman" w:cs="Times New Roman"/>
          <w:color w:val="000000"/>
          <w:sz w:val="20"/>
          <w:szCs w:val="20"/>
        </w:rPr>
      </w:pPr>
      <w:r w:rsidRPr="0019774B">
        <w:rPr>
          <w:rStyle w:val="A1"/>
          <w:rFonts w:ascii="Times New Roman" w:hAnsi="Times New Roman" w:cs="Times New Roman"/>
        </w:rPr>
        <w:t>Transplant olgularının uzun yıllar süren izlemleri farklı bir sorunu da beraberinde getirmiş ve bu olg</w:t>
      </w:r>
      <w:r w:rsidRPr="0019774B">
        <w:rPr>
          <w:rStyle w:val="A1"/>
          <w:rFonts w:ascii="Times New Roman" w:hAnsi="Times New Roman" w:cs="Times New Roman"/>
        </w:rPr>
        <w:t>u</w:t>
      </w:r>
      <w:r>
        <w:rPr>
          <w:rStyle w:val="A1"/>
          <w:rFonts w:ascii="Times New Roman" w:hAnsi="Times New Roman" w:cs="Times New Roman"/>
        </w:rPr>
        <w:t>-</w:t>
      </w:r>
      <w:r w:rsidRPr="0019774B">
        <w:rPr>
          <w:rStyle w:val="A1"/>
          <w:rFonts w:ascii="Times New Roman" w:hAnsi="Times New Roman" w:cs="Times New Roman"/>
        </w:rPr>
        <w:t>larda ikincil kanser riskinin artmış olduğu görül</w:t>
      </w:r>
      <w:r>
        <w:rPr>
          <w:rStyle w:val="A1"/>
          <w:rFonts w:ascii="Times New Roman" w:hAnsi="Times New Roman" w:cs="Times New Roman"/>
        </w:rPr>
        <w:t>-</w:t>
      </w:r>
      <w:r w:rsidRPr="0019774B">
        <w:rPr>
          <w:rStyle w:val="A1"/>
          <w:rFonts w:ascii="Times New Roman" w:hAnsi="Times New Roman" w:cs="Times New Roman"/>
        </w:rPr>
        <w:t>mü</w:t>
      </w:r>
      <w:r w:rsidRPr="0019774B">
        <w:rPr>
          <w:rStyle w:val="A1"/>
          <w:rFonts w:ascii="Times New Roman" w:hAnsi="Times New Roman" w:cs="Times New Roman"/>
        </w:rPr>
        <w:t>ş</w:t>
      </w:r>
      <w:r w:rsidRPr="0019774B">
        <w:rPr>
          <w:rStyle w:val="A1"/>
          <w:rFonts w:ascii="Times New Roman" w:hAnsi="Times New Roman" w:cs="Times New Roman"/>
        </w:rPr>
        <w:t>tür. Radyoterapi, tüm vücut ışınlaması, alkilleyici ajanlar başta olmak üzere uygul</w:t>
      </w:r>
      <w:r w:rsidRPr="0019774B">
        <w:rPr>
          <w:rStyle w:val="A1"/>
          <w:rFonts w:ascii="Times New Roman" w:hAnsi="Times New Roman" w:cs="Times New Roman"/>
        </w:rPr>
        <w:t>a</w:t>
      </w:r>
      <w:r w:rsidRPr="0019774B">
        <w:rPr>
          <w:rStyle w:val="A1"/>
          <w:rFonts w:ascii="Times New Roman" w:hAnsi="Times New Roman" w:cs="Times New Roman"/>
        </w:rPr>
        <w:t>nan kemoterapötik ajanlar, kronik GVHH varlığı, transplant sırasında hasta yaşının küçük olması ve genetik yatkınlık ikincil kanserler açısından risk yaratan faktörler olarak tanı</w:t>
      </w:r>
      <w:r w:rsidRPr="0019774B">
        <w:rPr>
          <w:rStyle w:val="A1"/>
          <w:rFonts w:ascii="Times New Roman" w:hAnsi="Times New Roman" w:cs="Times New Roman"/>
        </w:rPr>
        <w:t>m</w:t>
      </w:r>
      <w:r w:rsidRPr="0019774B">
        <w:rPr>
          <w:rStyle w:val="A1"/>
          <w:rFonts w:ascii="Times New Roman" w:hAnsi="Times New Roman" w:cs="Times New Roman"/>
        </w:rPr>
        <w:t>lanmıştır. En çok görülenler cilt, orofarenks, tiroid ve meme kanserleridir. Transplant olguları ikincil lenfo</w:t>
      </w:r>
      <w:r>
        <w:rPr>
          <w:rStyle w:val="A1"/>
          <w:rFonts w:ascii="Times New Roman" w:hAnsi="Times New Roman" w:cs="Times New Roman"/>
        </w:rPr>
        <w:t>-</w:t>
      </w:r>
      <w:r w:rsidRPr="0019774B">
        <w:rPr>
          <w:rStyle w:val="A1"/>
          <w:rFonts w:ascii="Times New Roman" w:hAnsi="Times New Roman" w:cs="Times New Roman"/>
        </w:rPr>
        <w:t xml:space="preserve">proliferatif hastalıklar ve hematolojik maligniteler açısından da yakın takip edilmelidir. </w:t>
      </w:r>
    </w:p>
    <w:p w:rsidR="00D46298" w:rsidRPr="0019774B" w:rsidRDefault="00D46298" w:rsidP="00D46298">
      <w:pPr>
        <w:spacing w:after="240" w:line="254" w:lineRule="auto"/>
        <w:jc w:val="both"/>
        <w:rPr>
          <w:color w:val="000000"/>
        </w:rPr>
      </w:pPr>
      <w:r w:rsidRPr="0019774B">
        <w:rPr>
          <w:color w:val="000000"/>
        </w:rPr>
        <w:t>Sonuç olarak, malign ve bazı malign olmayan hast</w:t>
      </w:r>
      <w:r w:rsidRPr="0019774B">
        <w:rPr>
          <w:color w:val="000000"/>
        </w:rPr>
        <w:t>a</w:t>
      </w:r>
      <w:r>
        <w:rPr>
          <w:color w:val="000000"/>
        </w:rPr>
        <w:t>-</w:t>
      </w:r>
      <w:r w:rsidRPr="0019774B">
        <w:rPr>
          <w:color w:val="000000"/>
        </w:rPr>
        <w:t>lıklarda “Kemik İliği” ve “Kan Kök Hücre” nakilleri ile kür şansı elde edilebilmektedir. Malign hastalığı olanlar primer hastalık ile beraber kemoterapi ve radyoterapinin erken ve geç etkilerinden uzaklaşma</w:t>
      </w:r>
      <w:r w:rsidRPr="0019774B">
        <w:rPr>
          <w:color w:val="000000"/>
        </w:rPr>
        <w:t>k</w:t>
      </w:r>
      <w:r>
        <w:rPr>
          <w:color w:val="000000"/>
        </w:rPr>
        <w:t>-</w:t>
      </w:r>
      <w:r w:rsidRPr="0019774B">
        <w:rPr>
          <w:color w:val="000000"/>
        </w:rPr>
        <w:t>tadır. Bazı doğmalık hastalıklarda, hasta transfüzyon ihtiyacından kurtulmakta ve geç endokrin etkilere maruz kalmamakta, normal bir yaşam süresine kav</w:t>
      </w:r>
      <w:r w:rsidRPr="0019774B">
        <w:rPr>
          <w:color w:val="000000"/>
        </w:rPr>
        <w:t>u</w:t>
      </w:r>
      <w:r>
        <w:rPr>
          <w:color w:val="000000"/>
        </w:rPr>
        <w:t>-</w:t>
      </w:r>
      <w:r w:rsidRPr="0019774B">
        <w:rPr>
          <w:color w:val="000000"/>
        </w:rPr>
        <w:t xml:space="preserve">şabilmektedir. Kısacası, insanın yaşam kalitesinde belirgin bir artma sağlanmaktadır. </w:t>
      </w:r>
    </w:p>
    <w:p w:rsidR="00D46298" w:rsidRPr="0019774B" w:rsidRDefault="00D46298" w:rsidP="00D46298">
      <w:pPr>
        <w:pStyle w:val="Pa1"/>
        <w:spacing w:after="120" w:line="250" w:lineRule="auto"/>
        <w:jc w:val="both"/>
        <w:rPr>
          <w:rFonts w:ascii="Times New Roman" w:hAnsi="Times New Roman" w:cs="Times New Roman"/>
          <w:b/>
          <w:bCs/>
          <w:color w:val="000000"/>
          <w:sz w:val="20"/>
          <w:szCs w:val="20"/>
        </w:rPr>
      </w:pPr>
      <w:r w:rsidRPr="0019774B">
        <w:rPr>
          <w:rStyle w:val="A1"/>
          <w:rFonts w:ascii="Times New Roman" w:hAnsi="Times New Roman" w:cs="Times New Roman"/>
          <w:b/>
          <w:bCs/>
        </w:rPr>
        <w:t xml:space="preserve">Kaynaklar </w:t>
      </w:r>
    </w:p>
    <w:p w:rsidR="00D46298" w:rsidRPr="00C47691" w:rsidRDefault="00D46298" w:rsidP="00D46298">
      <w:pPr>
        <w:pStyle w:val="Pa5"/>
        <w:numPr>
          <w:ilvl w:val="0"/>
          <w:numId w:val="4"/>
        </w:numPr>
        <w:spacing w:after="100" w:line="250" w:lineRule="auto"/>
        <w:ind w:left="323" w:hanging="323"/>
        <w:jc w:val="both"/>
        <w:rPr>
          <w:rFonts w:ascii="Times New Roman" w:hAnsi="Times New Roman" w:cs="Times New Roman"/>
          <w:color w:val="000000"/>
          <w:sz w:val="18"/>
          <w:szCs w:val="18"/>
        </w:rPr>
      </w:pPr>
      <w:r w:rsidRPr="00C47691">
        <w:rPr>
          <w:rStyle w:val="A2"/>
          <w:rFonts w:ascii="Times New Roman" w:hAnsi="Times New Roman" w:cs="Times New Roman"/>
          <w:sz w:val="18"/>
          <w:szCs w:val="18"/>
        </w:rPr>
        <w:t xml:space="preserve">Thomas ED, Lochte HL, Lu WC et al. Intravenous infusion of bone marrow in patients receiving radiation and chemotherapy. N Engl J Med 1957; 257:491-6. </w:t>
      </w:r>
    </w:p>
    <w:p w:rsidR="00D46298" w:rsidRPr="00C47691" w:rsidRDefault="00D46298" w:rsidP="00D46298">
      <w:pPr>
        <w:pStyle w:val="Pa5"/>
        <w:numPr>
          <w:ilvl w:val="0"/>
          <w:numId w:val="4"/>
        </w:numPr>
        <w:spacing w:after="100" w:line="250" w:lineRule="auto"/>
        <w:ind w:left="323" w:hanging="323"/>
        <w:jc w:val="both"/>
        <w:rPr>
          <w:rFonts w:ascii="Times New Roman" w:hAnsi="Times New Roman" w:cs="Times New Roman"/>
          <w:color w:val="000000"/>
          <w:sz w:val="18"/>
          <w:szCs w:val="18"/>
        </w:rPr>
      </w:pPr>
      <w:r w:rsidRPr="00C47691">
        <w:rPr>
          <w:rStyle w:val="A2"/>
          <w:rFonts w:ascii="Times New Roman" w:hAnsi="Times New Roman" w:cs="Times New Roman"/>
          <w:sz w:val="18"/>
          <w:szCs w:val="18"/>
        </w:rPr>
        <w:t>Foeken LM, Green A, Hurley CK, Marry E, Wiegand T, Oudshoorn M. Monitoring the international use of un</w:t>
      </w:r>
      <w:r w:rsidRPr="00C47691">
        <w:rPr>
          <w:rStyle w:val="A2"/>
          <w:rFonts w:ascii="Times New Roman" w:hAnsi="Times New Roman" w:cs="Times New Roman"/>
          <w:sz w:val="18"/>
          <w:szCs w:val="18"/>
        </w:rPr>
        <w:softHyphen/>
        <w:t xml:space="preserve">related donors for transplantation: the WMDA annual reports. Bone Marrow Transplant. 2010 Feb 15. [Epub ahead of print]. </w:t>
      </w:r>
    </w:p>
    <w:p w:rsidR="00D46298" w:rsidRPr="00C47691" w:rsidRDefault="00D46298" w:rsidP="00D46298">
      <w:pPr>
        <w:pStyle w:val="Pa5"/>
        <w:numPr>
          <w:ilvl w:val="0"/>
          <w:numId w:val="4"/>
        </w:numPr>
        <w:spacing w:after="100" w:line="250" w:lineRule="auto"/>
        <w:ind w:left="323" w:hanging="323"/>
        <w:jc w:val="both"/>
        <w:rPr>
          <w:rFonts w:ascii="Times New Roman" w:hAnsi="Times New Roman" w:cs="Times New Roman"/>
          <w:color w:val="000000"/>
          <w:sz w:val="18"/>
          <w:szCs w:val="18"/>
        </w:rPr>
      </w:pPr>
      <w:r w:rsidRPr="00C47691">
        <w:rPr>
          <w:rStyle w:val="A2"/>
          <w:rFonts w:ascii="Times New Roman" w:hAnsi="Times New Roman" w:cs="Times New Roman"/>
          <w:sz w:val="18"/>
          <w:szCs w:val="18"/>
        </w:rPr>
        <w:t xml:space="preserve">Oski, Section III, sayfa 426. </w:t>
      </w:r>
    </w:p>
    <w:p w:rsidR="00D46298" w:rsidRPr="00C47691" w:rsidRDefault="00D46298" w:rsidP="00D46298">
      <w:pPr>
        <w:pStyle w:val="Pa5"/>
        <w:numPr>
          <w:ilvl w:val="0"/>
          <w:numId w:val="4"/>
        </w:numPr>
        <w:spacing w:after="100" w:line="250" w:lineRule="auto"/>
        <w:ind w:left="323" w:hanging="323"/>
        <w:jc w:val="both"/>
        <w:rPr>
          <w:rFonts w:ascii="Times New Roman" w:hAnsi="Times New Roman" w:cs="Times New Roman"/>
          <w:color w:val="000000"/>
          <w:sz w:val="18"/>
          <w:szCs w:val="18"/>
        </w:rPr>
      </w:pPr>
      <w:r w:rsidRPr="00C47691">
        <w:rPr>
          <w:rStyle w:val="A2"/>
          <w:rFonts w:ascii="Times New Roman" w:hAnsi="Times New Roman" w:cs="Times New Roman"/>
          <w:sz w:val="18"/>
          <w:szCs w:val="18"/>
        </w:rPr>
        <w:t>Pulsipher MA, Levine JE, Hayashi RJ et al. Safety and efficacy of allogene</w:t>
      </w:r>
      <w:r>
        <w:rPr>
          <w:rStyle w:val="A2"/>
          <w:rFonts w:ascii="Times New Roman" w:hAnsi="Times New Roman" w:cs="Times New Roman"/>
          <w:sz w:val="18"/>
          <w:szCs w:val="18"/>
        </w:rPr>
        <w:t>ic PBSC collection in normal pe</w:t>
      </w:r>
      <w:r w:rsidRPr="00C47691">
        <w:rPr>
          <w:rStyle w:val="A2"/>
          <w:rFonts w:ascii="Times New Roman" w:hAnsi="Times New Roman" w:cs="Times New Roman"/>
          <w:sz w:val="18"/>
          <w:szCs w:val="18"/>
        </w:rPr>
        <w:t xml:space="preserve">diatric donors: the pediatric blood and marrow transplant consortium experience (PBMTC) 1996-2003. Bone Marrow Transplant 2005; 35(4):361-7. </w:t>
      </w:r>
    </w:p>
    <w:p w:rsidR="00D46298" w:rsidRPr="00933C92" w:rsidRDefault="00D46298" w:rsidP="00D46298">
      <w:pPr>
        <w:pStyle w:val="Pa5"/>
        <w:numPr>
          <w:ilvl w:val="0"/>
          <w:numId w:val="4"/>
        </w:numPr>
        <w:spacing w:after="100" w:line="250" w:lineRule="auto"/>
        <w:ind w:left="323" w:hanging="323"/>
        <w:jc w:val="both"/>
        <w:rPr>
          <w:rFonts w:ascii="Times New Roman" w:hAnsi="Times New Roman" w:cs="Times New Roman"/>
          <w:color w:val="000000"/>
          <w:spacing w:val="-2"/>
          <w:sz w:val="18"/>
          <w:szCs w:val="18"/>
        </w:rPr>
      </w:pPr>
      <w:r w:rsidRPr="00933C92">
        <w:rPr>
          <w:rStyle w:val="A2"/>
          <w:rFonts w:ascii="Times New Roman" w:hAnsi="Times New Roman" w:cs="Times New Roman"/>
          <w:spacing w:val="-2"/>
          <w:sz w:val="18"/>
          <w:szCs w:val="18"/>
        </w:rPr>
        <w:t xml:space="preserve">Anderlini P, Rizzo JD, Nugent ML, Schmitz N, Champlin RE, Horowitz MM. Peripheral blood stem cell donation: an analysis from the International Bone Marrow Transplant Registry (IBMTR) and European Group for Blood and Marrow Transplant (EBMT) databases. Bone Marrow Transplant 2001; 27(7):689-92. </w:t>
      </w:r>
    </w:p>
    <w:p w:rsidR="00D46298" w:rsidRPr="00C47691" w:rsidRDefault="00D46298" w:rsidP="00D46298">
      <w:pPr>
        <w:pStyle w:val="Pa5"/>
        <w:numPr>
          <w:ilvl w:val="0"/>
          <w:numId w:val="4"/>
        </w:numPr>
        <w:spacing w:after="100" w:line="250" w:lineRule="auto"/>
        <w:ind w:left="323" w:hanging="323"/>
        <w:jc w:val="both"/>
        <w:rPr>
          <w:rFonts w:ascii="Times New Roman" w:hAnsi="Times New Roman" w:cs="Times New Roman"/>
          <w:color w:val="000000"/>
          <w:sz w:val="18"/>
          <w:szCs w:val="18"/>
        </w:rPr>
      </w:pPr>
      <w:r w:rsidRPr="00933C92">
        <w:rPr>
          <w:rStyle w:val="A2"/>
          <w:rFonts w:ascii="Times New Roman" w:hAnsi="Times New Roman" w:cs="Times New Roman"/>
          <w:spacing w:val="-2"/>
          <w:sz w:val="18"/>
          <w:szCs w:val="18"/>
        </w:rPr>
        <w:t>Gratwohl A, Carreras E. Principals of conditioning. In: Hematopoetic Stem Cell Transplantation, The EBMT Handbook. Eds: Apperly J, Carreras E, Gluckman E Grawthol A, Masszi T. European School of Hematology</w:t>
      </w:r>
      <w:r w:rsidRPr="00C47691">
        <w:rPr>
          <w:rStyle w:val="A2"/>
          <w:rFonts w:ascii="Times New Roman" w:hAnsi="Times New Roman" w:cs="Times New Roman"/>
          <w:sz w:val="18"/>
          <w:szCs w:val="18"/>
        </w:rPr>
        <w:t xml:space="preserve">, 2012. </w:t>
      </w:r>
    </w:p>
    <w:p w:rsidR="00D46298" w:rsidRPr="00933C92" w:rsidRDefault="00D46298" w:rsidP="00D46298">
      <w:pPr>
        <w:pStyle w:val="Pa5"/>
        <w:numPr>
          <w:ilvl w:val="0"/>
          <w:numId w:val="4"/>
        </w:numPr>
        <w:spacing w:after="100" w:line="250" w:lineRule="auto"/>
        <w:ind w:left="323" w:hanging="323"/>
        <w:jc w:val="both"/>
        <w:rPr>
          <w:rStyle w:val="A2"/>
          <w:rFonts w:ascii="Times New Roman" w:hAnsi="Times New Roman" w:cs="Times New Roman"/>
          <w:spacing w:val="-2"/>
          <w:sz w:val="18"/>
          <w:szCs w:val="18"/>
        </w:rPr>
      </w:pPr>
      <w:r w:rsidRPr="00933C92">
        <w:rPr>
          <w:rStyle w:val="A2"/>
          <w:rFonts w:ascii="Times New Roman" w:hAnsi="Times New Roman" w:cs="Times New Roman"/>
          <w:spacing w:val="-2"/>
          <w:sz w:val="18"/>
          <w:szCs w:val="18"/>
        </w:rPr>
        <w:t>Yaniv I, Stein J. EBMT Paediatric Working Party. Reduced-intensity conditioning in children: a reappraisal in 2008. Bone Marrow Transplant 2008; 41(Suppl 2):</w:t>
      </w:r>
      <w:r>
        <w:rPr>
          <w:rStyle w:val="A2"/>
          <w:rFonts w:ascii="Times New Roman" w:hAnsi="Times New Roman" w:cs="Times New Roman"/>
          <w:spacing w:val="-2"/>
          <w:sz w:val="18"/>
          <w:szCs w:val="18"/>
        </w:rPr>
        <w:t xml:space="preserve"> </w:t>
      </w:r>
      <w:r w:rsidRPr="00933C92">
        <w:rPr>
          <w:rStyle w:val="A2"/>
          <w:rFonts w:ascii="Times New Roman" w:hAnsi="Times New Roman" w:cs="Times New Roman"/>
          <w:spacing w:val="-2"/>
          <w:sz w:val="18"/>
          <w:szCs w:val="18"/>
        </w:rPr>
        <w:t xml:space="preserve">S18-22. </w:t>
      </w:r>
    </w:p>
    <w:p w:rsidR="00D46298" w:rsidRPr="00933C92" w:rsidRDefault="00D46298" w:rsidP="00D46298">
      <w:pPr>
        <w:pStyle w:val="Pa5"/>
        <w:numPr>
          <w:ilvl w:val="0"/>
          <w:numId w:val="4"/>
        </w:numPr>
        <w:spacing w:after="100" w:line="250" w:lineRule="auto"/>
        <w:ind w:left="323" w:hanging="323"/>
        <w:jc w:val="both"/>
        <w:rPr>
          <w:rFonts w:ascii="Times New Roman" w:hAnsi="Times New Roman" w:cs="Times New Roman"/>
          <w:color w:val="000000"/>
          <w:spacing w:val="-4"/>
          <w:sz w:val="18"/>
          <w:szCs w:val="18"/>
        </w:rPr>
      </w:pPr>
      <w:r w:rsidRPr="00933C92">
        <w:rPr>
          <w:rStyle w:val="A2"/>
          <w:rFonts w:ascii="Times New Roman" w:hAnsi="Times New Roman" w:cs="Times New Roman"/>
          <w:spacing w:val="-4"/>
          <w:sz w:val="18"/>
          <w:szCs w:val="18"/>
        </w:rPr>
        <w:t xml:space="preserve">Raymond C, Barfield RC, Kasow KA, Hale GA. Advances in pediatric hematopoetic stem cell transplantation. Cancer Biology and Therapy 2008; 7(10):1533-1539. </w:t>
      </w:r>
    </w:p>
    <w:p w:rsidR="00D46298" w:rsidRPr="00C47691" w:rsidRDefault="00D46298" w:rsidP="00D46298">
      <w:pPr>
        <w:pStyle w:val="Pa5"/>
        <w:numPr>
          <w:ilvl w:val="0"/>
          <w:numId w:val="4"/>
        </w:numPr>
        <w:spacing w:after="100" w:line="250" w:lineRule="auto"/>
        <w:ind w:left="323" w:hanging="323"/>
        <w:jc w:val="both"/>
        <w:rPr>
          <w:rFonts w:ascii="Times New Roman" w:hAnsi="Times New Roman" w:cs="Times New Roman"/>
          <w:color w:val="000000"/>
          <w:sz w:val="18"/>
          <w:szCs w:val="18"/>
        </w:rPr>
      </w:pPr>
      <w:r w:rsidRPr="00C47691">
        <w:rPr>
          <w:rStyle w:val="A2"/>
          <w:rFonts w:ascii="Times New Roman" w:hAnsi="Times New Roman" w:cs="Times New Roman"/>
          <w:sz w:val="18"/>
          <w:szCs w:val="18"/>
        </w:rPr>
        <w:t>Ljungman P, Bregni M, Brune M et al. Allogeneic and autologous transplan</w:t>
      </w:r>
      <w:r>
        <w:rPr>
          <w:rStyle w:val="A2"/>
          <w:rFonts w:ascii="Times New Roman" w:hAnsi="Times New Roman" w:cs="Times New Roman"/>
          <w:sz w:val="18"/>
          <w:szCs w:val="18"/>
        </w:rPr>
        <w:t>tation for haematological disea</w:t>
      </w:r>
      <w:r w:rsidRPr="00C47691">
        <w:rPr>
          <w:rStyle w:val="A2"/>
          <w:rFonts w:ascii="Times New Roman" w:hAnsi="Times New Roman" w:cs="Times New Roman"/>
          <w:sz w:val="18"/>
          <w:szCs w:val="18"/>
        </w:rPr>
        <w:t xml:space="preserve">ses, solid tumours and immune disorders: current practice in Europe 2009. Bone Marrow Transplant 2010; 45:219-234. </w:t>
      </w:r>
    </w:p>
    <w:p w:rsidR="00D46298" w:rsidRPr="00C47691" w:rsidRDefault="00D46298" w:rsidP="00D46298">
      <w:pPr>
        <w:pStyle w:val="Pa5"/>
        <w:numPr>
          <w:ilvl w:val="0"/>
          <w:numId w:val="4"/>
        </w:numPr>
        <w:spacing w:after="100" w:line="250" w:lineRule="auto"/>
        <w:ind w:left="323" w:hanging="323"/>
        <w:jc w:val="both"/>
        <w:rPr>
          <w:rFonts w:ascii="Times New Roman" w:hAnsi="Times New Roman" w:cs="Times New Roman"/>
          <w:color w:val="000000"/>
          <w:sz w:val="18"/>
          <w:szCs w:val="18"/>
        </w:rPr>
      </w:pPr>
      <w:r w:rsidRPr="00C47691">
        <w:rPr>
          <w:rStyle w:val="A2"/>
          <w:rFonts w:ascii="Times New Roman" w:hAnsi="Times New Roman" w:cs="Times New Roman"/>
          <w:sz w:val="18"/>
          <w:szCs w:val="18"/>
        </w:rPr>
        <w:t xml:space="preserve">Dini G, Miano M. HSCT for acute myeloid leukemia in children In: Hematopoietic stem cell transplantation EBMT Handbook. 5th Ed. Eds: Apperly J, Carreras E, Gluckman E Grawthol A, Masszi T. European School of Hematology 2008, p:499-503. </w:t>
      </w:r>
    </w:p>
    <w:p w:rsidR="00D46298" w:rsidRPr="00933C92" w:rsidRDefault="00D46298" w:rsidP="00D46298">
      <w:pPr>
        <w:pStyle w:val="Pa5"/>
        <w:numPr>
          <w:ilvl w:val="0"/>
          <w:numId w:val="4"/>
        </w:numPr>
        <w:spacing w:after="100" w:line="250" w:lineRule="auto"/>
        <w:ind w:left="323" w:hanging="323"/>
        <w:jc w:val="both"/>
        <w:rPr>
          <w:rFonts w:ascii="Times New Roman" w:hAnsi="Times New Roman" w:cs="Times New Roman"/>
          <w:color w:val="000000"/>
          <w:spacing w:val="-2"/>
          <w:sz w:val="18"/>
          <w:szCs w:val="18"/>
        </w:rPr>
      </w:pPr>
      <w:r w:rsidRPr="00933C92">
        <w:rPr>
          <w:rStyle w:val="A2"/>
          <w:rFonts w:ascii="Times New Roman" w:hAnsi="Times New Roman" w:cs="Times New Roman"/>
          <w:spacing w:val="-2"/>
          <w:sz w:val="18"/>
          <w:szCs w:val="18"/>
        </w:rPr>
        <w:t xml:space="preserve">Peters C, Schrauder A, Schrappe M et al. Allogeneic haematopoietic stem cell transplantation in children with acute lymphoblastic leukaemia: the BFM/IBFM/EBMT concepts. Bone Marrow Transplant 2005; 35(Suppl 1):S9-S11. </w:t>
      </w:r>
    </w:p>
    <w:p w:rsidR="00D46298" w:rsidRPr="00C47691" w:rsidRDefault="00D46298" w:rsidP="00D46298">
      <w:pPr>
        <w:pStyle w:val="Pa5"/>
        <w:numPr>
          <w:ilvl w:val="0"/>
          <w:numId w:val="4"/>
        </w:numPr>
        <w:spacing w:after="100" w:line="250" w:lineRule="auto"/>
        <w:ind w:left="323" w:hanging="323"/>
        <w:jc w:val="both"/>
        <w:rPr>
          <w:rFonts w:ascii="Times New Roman" w:hAnsi="Times New Roman" w:cs="Times New Roman"/>
          <w:color w:val="000000"/>
          <w:sz w:val="18"/>
          <w:szCs w:val="18"/>
        </w:rPr>
      </w:pPr>
      <w:r w:rsidRPr="00C47691">
        <w:rPr>
          <w:rStyle w:val="A2"/>
          <w:rFonts w:ascii="Times New Roman" w:hAnsi="Times New Roman" w:cs="Times New Roman"/>
          <w:sz w:val="18"/>
          <w:szCs w:val="18"/>
        </w:rPr>
        <w:t>Klingebiel T, Cornish J, Labopin M et al. Results and factors influencing outcome after fully haploidentical hematopoietic stem cell transplant in children with very-high risk acute lymphoblastic leukemia - impact of center size: an analysis on behalf of the Acute Leukemia and Pediatric Disease Working Parties of the Euro</w:t>
      </w:r>
      <w:r w:rsidRPr="00C47691">
        <w:rPr>
          <w:rStyle w:val="A2"/>
          <w:rFonts w:ascii="Times New Roman" w:hAnsi="Times New Roman" w:cs="Times New Roman"/>
          <w:sz w:val="18"/>
          <w:szCs w:val="18"/>
        </w:rPr>
        <w:softHyphen/>
        <w:t>pean Blood and Marrow Transplant group. Blood 2009 Dec 29. [Epub ahead of print]</w:t>
      </w:r>
    </w:p>
    <w:p w:rsidR="00D46298" w:rsidRPr="00C47691" w:rsidRDefault="00D46298" w:rsidP="00D46298">
      <w:pPr>
        <w:pStyle w:val="Pa5"/>
        <w:numPr>
          <w:ilvl w:val="0"/>
          <w:numId w:val="4"/>
        </w:numPr>
        <w:spacing w:after="100" w:line="250" w:lineRule="auto"/>
        <w:ind w:left="323" w:hanging="323"/>
        <w:jc w:val="both"/>
        <w:rPr>
          <w:rStyle w:val="A2"/>
          <w:rFonts w:ascii="Times New Roman" w:hAnsi="Times New Roman" w:cs="Times New Roman"/>
          <w:sz w:val="18"/>
          <w:szCs w:val="18"/>
        </w:rPr>
      </w:pPr>
      <w:r w:rsidRPr="00C47691">
        <w:rPr>
          <w:rStyle w:val="A2"/>
          <w:rFonts w:ascii="Times New Roman" w:hAnsi="Times New Roman" w:cs="Times New Roman"/>
          <w:sz w:val="18"/>
          <w:szCs w:val="18"/>
        </w:rPr>
        <w:t xml:space="preserve">Claviez A, Canals C, Dierickx D el al. Allogeneic hematopoietic stem cell transplantation in children and adolescents with recurrent and refractory Hodgkin lymphoma: an analysis of the European Group for Blood and Marrow Transplantation. Blood 2009; 114(10):2060-7. </w:t>
      </w:r>
    </w:p>
    <w:p w:rsidR="00D46298" w:rsidRPr="00933C92" w:rsidRDefault="00D46298" w:rsidP="00D46298">
      <w:pPr>
        <w:pStyle w:val="Pa5"/>
        <w:numPr>
          <w:ilvl w:val="0"/>
          <w:numId w:val="4"/>
        </w:numPr>
        <w:spacing w:after="100" w:line="250" w:lineRule="auto"/>
        <w:ind w:left="323" w:hanging="323"/>
        <w:jc w:val="both"/>
        <w:rPr>
          <w:rFonts w:ascii="Times New Roman" w:hAnsi="Times New Roman" w:cs="Times New Roman"/>
          <w:color w:val="000000"/>
          <w:spacing w:val="-2"/>
          <w:sz w:val="18"/>
          <w:szCs w:val="18"/>
        </w:rPr>
      </w:pPr>
      <w:r w:rsidRPr="00933C92">
        <w:rPr>
          <w:rStyle w:val="A2"/>
          <w:rFonts w:ascii="Times New Roman" w:hAnsi="Times New Roman" w:cs="Times New Roman"/>
          <w:spacing w:val="-2"/>
          <w:sz w:val="18"/>
          <w:szCs w:val="18"/>
        </w:rPr>
        <w:t>Hematopoietic cell transplantation. In: Blume KG, Fo</w:t>
      </w:r>
      <w:r w:rsidRPr="00933C92">
        <w:rPr>
          <w:rStyle w:val="A2"/>
          <w:rFonts w:ascii="Times New Roman" w:hAnsi="Times New Roman" w:cs="Times New Roman"/>
          <w:spacing w:val="-2"/>
          <w:sz w:val="18"/>
          <w:szCs w:val="18"/>
        </w:rPr>
        <w:t>r</w:t>
      </w:r>
      <w:r w:rsidRPr="00933C92">
        <w:rPr>
          <w:rStyle w:val="A2"/>
          <w:rFonts w:ascii="Times New Roman" w:hAnsi="Times New Roman" w:cs="Times New Roman"/>
          <w:spacing w:val="-2"/>
          <w:sz w:val="18"/>
          <w:szCs w:val="18"/>
        </w:rPr>
        <w:t xml:space="preserve">man SJ, Appelbaum FR (eds). </w:t>
      </w:r>
      <w:r w:rsidRPr="00933C92">
        <w:rPr>
          <w:rFonts w:ascii="Times New Roman" w:hAnsi="Times New Roman" w:cs="Times New Roman"/>
          <w:color w:val="000000"/>
          <w:spacing w:val="-2"/>
          <w:sz w:val="18"/>
          <w:szCs w:val="18"/>
        </w:rPr>
        <w:t>Thomas' Hematopoietic Cell Transplantation: Stem Cell Transplantation, Fourth Edition, 2009</w:t>
      </w:r>
    </w:p>
    <w:p w:rsidR="00D46298" w:rsidRPr="00C47691" w:rsidRDefault="00D46298" w:rsidP="00D46298">
      <w:pPr>
        <w:numPr>
          <w:ilvl w:val="0"/>
          <w:numId w:val="4"/>
        </w:numPr>
        <w:spacing w:after="100" w:line="250" w:lineRule="auto"/>
        <w:ind w:left="323" w:hanging="323"/>
        <w:rPr>
          <w:color w:val="000000"/>
          <w:sz w:val="18"/>
          <w:szCs w:val="18"/>
        </w:rPr>
      </w:pPr>
      <w:r>
        <w:rPr>
          <w:color w:val="000000"/>
          <w:sz w:val="18"/>
          <w:szCs w:val="18"/>
        </w:rPr>
        <w:t>Y</w:t>
      </w:r>
      <w:r w:rsidRPr="00C47691">
        <w:rPr>
          <w:color w:val="000000"/>
          <w:sz w:val="18"/>
          <w:szCs w:val="18"/>
        </w:rPr>
        <w:t>eşilipek A, Karasu G. Hematopoetic stem cell transplantation in children. Journal of Pediatric Sciences 2010; 2(3); 30 13-23</w:t>
      </w:r>
    </w:p>
    <w:p w:rsidR="00D46298" w:rsidRDefault="00D46298" w:rsidP="00B565B9">
      <w:pPr>
        <w:numPr>
          <w:ilvl w:val="0"/>
          <w:numId w:val="4"/>
        </w:numPr>
        <w:spacing w:after="120" w:line="250" w:lineRule="auto"/>
        <w:ind w:left="322" w:hanging="322"/>
      </w:pPr>
      <w:r w:rsidRPr="00D46298">
        <w:rPr>
          <w:color w:val="000000"/>
          <w:sz w:val="18"/>
          <w:szCs w:val="18"/>
        </w:rPr>
        <w:t>Kansoy S. Türk Pediatrik Hematoloji Derneği – Pedia</w:t>
      </w:r>
      <w:r w:rsidRPr="00D46298">
        <w:rPr>
          <w:color w:val="000000"/>
          <w:sz w:val="18"/>
          <w:szCs w:val="18"/>
        </w:rPr>
        <w:t>t</w:t>
      </w:r>
      <w:r w:rsidRPr="00D46298">
        <w:rPr>
          <w:color w:val="000000"/>
          <w:sz w:val="18"/>
          <w:szCs w:val="18"/>
        </w:rPr>
        <w:t xml:space="preserve">rik KİT ulusal veritabanı, www. ulusalveritabani. com, 2013. </w:t>
      </w:r>
      <w:bookmarkStart w:id="0" w:name="_GoBack"/>
      <w:bookmarkEnd w:id="0"/>
    </w:p>
    <w:sectPr w:rsidR="00D46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ELEGLK+Arial,Italic">
    <w:altName w:val="Arial"/>
    <w:panose1 w:val="00000000000000000000"/>
    <w:charset w:val="00"/>
    <w:family w:val="swiss"/>
    <w:notTrueType/>
    <w:pitch w:val="default"/>
    <w:sig w:usb0="00000003" w:usb1="00000000" w:usb2="00000000" w:usb3="00000000" w:csb0="00000001" w:csb1="00000000"/>
  </w:font>
  <w:font w:name="ITC Bookman Std Med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56F"/>
    <w:multiLevelType w:val="singleLevel"/>
    <w:tmpl w:val="19E023BE"/>
    <w:lvl w:ilvl="0">
      <w:start w:val="1"/>
      <w:numFmt w:val="upperLetter"/>
      <w:lvlText w:val="%1. "/>
      <w:legacy w:legacy="1" w:legacySpace="0" w:legacyIndent="283"/>
      <w:lvlJc w:val="left"/>
      <w:pPr>
        <w:ind w:left="1003" w:hanging="283"/>
      </w:pPr>
      <w:rPr>
        <w:rFonts w:ascii="Times New Roman" w:hAnsi="Times New Roman" w:cs="Times New Roman" w:hint="default"/>
        <w:b/>
        <w:bCs/>
        <w:i w:val="0"/>
        <w:iCs w:val="0"/>
        <w:sz w:val="18"/>
        <w:szCs w:val="18"/>
        <w:u w:val="none"/>
      </w:rPr>
    </w:lvl>
  </w:abstractNum>
  <w:abstractNum w:abstractNumId="1" w15:restartNumberingAfterBreak="0">
    <w:nsid w:val="3C891D2B"/>
    <w:multiLevelType w:val="singleLevel"/>
    <w:tmpl w:val="853025C6"/>
    <w:lvl w:ilvl="0">
      <w:start w:val="2"/>
      <w:numFmt w:val="upperLetter"/>
      <w:lvlText w:val="%1. "/>
      <w:legacy w:legacy="1" w:legacySpace="0" w:legacyIndent="283"/>
      <w:lvlJc w:val="left"/>
      <w:pPr>
        <w:ind w:left="1003" w:hanging="283"/>
      </w:pPr>
      <w:rPr>
        <w:rFonts w:ascii="Times New Roman" w:hAnsi="Times New Roman" w:cs="Times New Roman" w:hint="default"/>
        <w:b/>
        <w:bCs/>
        <w:i w:val="0"/>
        <w:iCs w:val="0"/>
        <w:sz w:val="18"/>
        <w:szCs w:val="18"/>
        <w:u w:val="none"/>
      </w:rPr>
    </w:lvl>
  </w:abstractNum>
  <w:abstractNum w:abstractNumId="2" w15:restartNumberingAfterBreak="0">
    <w:nsid w:val="3EBD0F30"/>
    <w:multiLevelType w:val="singleLevel"/>
    <w:tmpl w:val="68225F4C"/>
    <w:lvl w:ilvl="0">
      <w:start w:val="2"/>
      <w:numFmt w:val="decimal"/>
      <w:lvlText w:val="%1. "/>
      <w:legacy w:legacy="1" w:legacySpace="0" w:legacyIndent="283"/>
      <w:lvlJc w:val="left"/>
      <w:pPr>
        <w:ind w:left="1003" w:hanging="283"/>
      </w:pPr>
      <w:rPr>
        <w:rFonts w:ascii="Times New Roman" w:hAnsi="Times New Roman" w:cs="Times New Roman" w:hint="default"/>
        <w:b/>
        <w:bCs/>
        <w:i w:val="0"/>
        <w:iCs w:val="0"/>
        <w:sz w:val="18"/>
        <w:szCs w:val="18"/>
        <w:u w:val="none"/>
      </w:rPr>
    </w:lvl>
  </w:abstractNum>
  <w:abstractNum w:abstractNumId="3" w15:restartNumberingAfterBreak="0">
    <w:nsid w:val="59EB6064"/>
    <w:multiLevelType w:val="hybridMultilevel"/>
    <w:tmpl w:val="B4C8DAE2"/>
    <w:lvl w:ilvl="0" w:tplc="B590F282">
      <w:start w:val="1"/>
      <w:numFmt w:val="decimal"/>
      <w:lvlText w:val="%1."/>
      <w:lvlJc w:val="left"/>
      <w:pPr>
        <w:ind w:left="720" w:hanging="360"/>
      </w:pPr>
      <w:rPr>
        <w:sz w:val="18"/>
        <w:szCs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98"/>
    <w:rsid w:val="009177CC"/>
    <w:rsid w:val="00D46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56D51DA-3D91-4165-BC03-25B57C74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98"/>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46298"/>
    <w:pPr>
      <w:widowControl w:val="0"/>
      <w:autoSpaceDE w:val="0"/>
      <w:autoSpaceDN w:val="0"/>
      <w:adjustRightInd w:val="0"/>
      <w:spacing w:after="0" w:line="240" w:lineRule="auto"/>
    </w:pPr>
    <w:rPr>
      <w:rFonts w:ascii="ELEGLK+Arial,Italic" w:eastAsia="Times New Roman" w:hAnsi="ELEGLK+Arial,Italic" w:cs="ELEGLK+Arial,Italic"/>
      <w:color w:val="000000"/>
      <w:sz w:val="24"/>
      <w:szCs w:val="24"/>
      <w:lang w:eastAsia="tr-TR"/>
    </w:rPr>
  </w:style>
  <w:style w:type="character" w:customStyle="1" w:styleId="A1">
    <w:name w:val="A1"/>
    <w:rsid w:val="00D46298"/>
    <w:rPr>
      <w:color w:val="000000"/>
      <w:sz w:val="20"/>
      <w:szCs w:val="20"/>
    </w:rPr>
  </w:style>
  <w:style w:type="paragraph" w:customStyle="1" w:styleId="Pa1">
    <w:name w:val="Pa1"/>
    <w:basedOn w:val="Default"/>
    <w:next w:val="Default"/>
    <w:rsid w:val="00D46298"/>
    <w:pPr>
      <w:widowControl/>
      <w:spacing w:line="241" w:lineRule="atLeast"/>
    </w:pPr>
    <w:rPr>
      <w:rFonts w:ascii="ITC Bookman Std Medium" w:hAnsi="ITC Bookman Std Medium" w:cs="ITC Bookman Std Medium"/>
      <w:color w:val="auto"/>
      <w:lang w:eastAsia="en-US"/>
    </w:rPr>
  </w:style>
  <w:style w:type="character" w:customStyle="1" w:styleId="A4">
    <w:name w:val="A4"/>
    <w:rsid w:val="00D46298"/>
    <w:rPr>
      <w:color w:val="000000"/>
      <w:sz w:val="11"/>
      <w:szCs w:val="11"/>
    </w:rPr>
  </w:style>
  <w:style w:type="paragraph" w:customStyle="1" w:styleId="Pa3">
    <w:name w:val="Pa3"/>
    <w:basedOn w:val="Default"/>
    <w:next w:val="Default"/>
    <w:rsid w:val="00D46298"/>
    <w:pPr>
      <w:widowControl/>
      <w:spacing w:line="241" w:lineRule="atLeast"/>
    </w:pPr>
    <w:rPr>
      <w:rFonts w:ascii="ITC Bookman Std Medium" w:hAnsi="ITC Bookman Std Medium" w:cs="ITC Bookman Std Medium"/>
      <w:color w:val="auto"/>
      <w:lang w:eastAsia="en-US"/>
    </w:rPr>
  </w:style>
  <w:style w:type="paragraph" w:customStyle="1" w:styleId="Pa4">
    <w:name w:val="Pa4"/>
    <w:basedOn w:val="Default"/>
    <w:next w:val="Default"/>
    <w:rsid w:val="00D46298"/>
    <w:pPr>
      <w:widowControl/>
      <w:spacing w:line="241" w:lineRule="atLeast"/>
    </w:pPr>
    <w:rPr>
      <w:rFonts w:ascii="ITC Bookman Std Medium" w:hAnsi="ITC Bookman Std Medium" w:cs="ITC Bookman Std Medium"/>
      <w:color w:val="auto"/>
      <w:lang w:eastAsia="en-US"/>
    </w:rPr>
  </w:style>
  <w:style w:type="character" w:customStyle="1" w:styleId="A2">
    <w:name w:val="A2"/>
    <w:rsid w:val="00D46298"/>
    <w:rPr>
      <w:color w:val="000000"/>
      <w:sz w:val="16"/>
      <w:szCs w:val="16"/>
    </w:rPr>
  </w:style>
  <w:style w:type="paragraph" w:customStyle="1" w:styleId="Pa5">
    <w:name w:val="Pa5"/>
    <w:basedOn w:val="Default"/>
    <w:next w:val="Default"/>
    <w:rsid w:val="00D46298"/>
    <w:pPr>
      <w:widowControl/>
      <w:spacing w:line="241" w:lineRule="atLeast"/>
    </w:pPr>
    <w:rPr>
      <w:rFonts w:ascii="ITC Bookman Std Medium" w:hAnsi="ITC Bookman Std Medium" w:cs="ITC Bookman Std Medium"/>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5228</Words>
  <Characters>29803</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Kansoy</dc:creator>
  <cp:keywords/>
  <dc:description/>
  <cp:lastModifiedBy>Zeynep Kansoy</cp:lastModifiedBy>
  <cp:revision>1</cp:revision>
  <dcterms:created xsi:type="dcterms:W3CDTF">2020-03-23T06:07:00Z</dcterms:created>
  <dcterms:modified xsi:type="dcterms:W3CDTF">2020-03-23T06:09:00Z</dcterms:modified>
</cp:coreProperties>
</file>